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8A6EB" w14:textId="77777777" w:rsidR="00C07609" w:rsidRPr="009B6C94" w:rsidRDefault="00831177" w:rsidP="009B6C94">
      <w:pPr>
        <w:spacing w:line="320" w:lineRule="exact"/>
        <w:jc w:val="center"/>
        <w:rPr>
          <w:rFonts w:asciiTheme="majorHAnsi" w:hAnsiTheme="majorHAnsi"/>
          <w:b/>
          <w:smallCaps/>
        </w:rPr>
      </w:pPr>
      <w:r>
        <w:rPr>
          <w:rFonts w:asciiTheme="majorHAnsi" w:hAnsiTheme="majorHAnsi"/>
          <w:b/>
        </w:rPr>
        <w:t>C</w:t>
      </w:r>
      <w:r w:rsidR="00C07609" w:rsidRPr="009B6C94">
        <w:rPr>
          <w:rFonts w:asciiTheme="majorHAnsi" w:hAnsiTheme="majorHAnsi"/>
          <w:b/>
        </w:rPr>
        <w:t xml:space="preserve">onferimento </w:t>
      </w:r>
    </w:p>
    <w:p w14:paraId="30086B0D" w14:textId="77777777" w:rsidR="00C07609" w:rsidRDefault="00C07609" w:rsidP="009B6C94">
      <w:pPr>
        <w:spacing w:line="320" w:lineRule="exact"/>
        <w:jc w:val="center"/>
        <w:rPr>
          <w:rFonts w:asciiTheme="majorHAnsi" w:hAnsiTheme="majorHAnsi"/>
          <w:b/>
        </w:rPr>
      </w:pPr>
      <w:proofErr w:type="gramStart"/>
      <w:r w:rsidRPr="009B6C94">
        <w:rPr>
          <w:rFonts w:asciiTheme="majorHAnsi" w:hAnsiTheme="majorHAnsi"/>
          <w:b/>
        </w:rPr>
        <w:t>della</w:t>
      </w:r>
      <w:proofErr w:type="gramEnd"/>
      <w:r w:rsidRPr="009B6C94">
        <w:rPr>
          <w:rFonts w:asciiTheme="majorHAnsi" w:hAnsiTheme="majorHAnsi"/>
          <w:b/>
        </w:rPr>
        <w:t xml:space="preserve"> </w:t>
      </w:r>
      <w:r w:rsidR="00694691">
        <w:rPr>
          <w:rFonts w:asciiTheme="majorHAnsi" w:hAnsiTheme="majorHAnsi"/>
          <w:b/>
          <w:i/>
        </w:rPr>
        <w:t>Laurea ad honorem</w:t>
      </w:r>
      <w:r w:rsidRPr="009B6C94">
        <w:rPr>
          <w:rFonts w:asciiTheme="majorHAnsi" w:hAnsiTheme="majorHAnsi"/>
          <w:b/>
          <w:i/>
        </w:rPr>
        <w:t xml:space="preserve"> </w:t>
      </w:r>
      <w:r w:rsidRPr="009B6C94">
        <w:rPr>
          <w:rFonts w:asciiTheme="majorHAnsi" w:hAnsiTheme="majorHAnsi"/>
          <w:b/>
        </w:rPr>
        <w:t>in Filologia, Letteratura e Tradizione Classica</w:t>
      </w:r>
    </w:p>
    <w:p w14:paraId="4DFF97DB" w14:textId="77777777" w:rsidR="00EC27EC" w:rsidRPr="009B6C94" w:rsidRDefault="00EC27EC" w:rsidP="009B6C94">
      <w:pPr>
        <w:spacing w:line="320" w:lineRule="exact"/>
        <w:jc w:val="center"/>
        <w:rPr>
          <w:rFonts w:asciiTheme="majorHAnsi" w:hAnsiTheme="majorHAnsi"/>
          <w:b/>
        </w:rPr>
      </w:pPr>
      <w:proofErr w:type="gramStart"/>
      <w:r w:rsidRPr="009B6C94">
        <w:rPr>
          <w:rFonts w:asciiTheme="majorHAnsi" w:hAnsiTheme="majorHAnsi"/>
          <w:b/>
        </w:rPr>
        <w:t>al</w:t>
      </w:r>
      <w:proofErr w:type="gramEnd"/>
      <w:r w:rsidRPr="009B6C94">
        <w:rPr>
          <w:rFonts w:asciiTheme="majorHAnsi" w:hAnsiTheme="majorHAnsi"/>
          <w:b/>
        </w:rPr>
        <w:t xml:space="preserve"> Prof. </w:t>
      </w:r>
      <w:r w:rsidRPr="009B6C94">
        <w:rPr>
          <w:rFonts w:asciiTheme="majorHAnsi" w:hAnsiTheme="majorHAnsi"/>
          <w:b/>
          <w:smallCaps/>
        </w:rPr>
        <w:t>Massimo Cacciari</w:t>
      </w:r>
    </w:p>
    <w:p w14:paraId="617186FF" w14:textId="77777777" w:rsidR="00612A9D" w:rsidRDefault="00612A9D" w:rsidP="009B6C94">
      <w:pPr>
        <w:spacing w:line="320" w:lineRule="exact"/>
        <w:rPr>
          <w:rFonts w:asciiTheme="majorHAnsi" w:hAnsiTheme="majorHAnsi"/>
        </w:rPr>
      </w:pPr>
      <w:r w:rsidRPr="009B6C94">
        <w:rPr>
          <w:rFonts w:asciiTheme="majorHAnsi" w:hAnsiTheme="majorHAnsi"/>
        </w:rPr>
        <w:t xml:space="preserve">    </w:t>
      </w:r>
    </w:p>
    <w:p w14:paraId="5B54C7B1" w14:textId="77777777" w:rsidR="009B6C94" w:rsidRPr="00831177" w:rsidRDefault="00831177" w:rsidP="00831177">
      <w:pPr>
        <w:spacing w:line="320" w:lineRule="exact"/>
        <w:jc w:val="center"/>
        <w:rPr>
          <w:rFonts w:asciiTheme="majorHAnsi" w:hAnsiTheme="majorHAnsi"/>
          <w:b/>
        </w:rPr>
      </w:pPr>
      <w:r w:rsidRPr="00831177">
        <w:rPr>
          <w:rFonts w:asciiTheme="majorHAnsi" w:hAnsiTheme="majorHAnsi"/>
          <w:b/>
        </w:rPr>
        <w:t>24 maggio 2014</w:t>
      </w:r>
    </w:p>
    <w:p w14:paraId="5E7DB015" w14:textId="77777777" w:rsidR="00831177" w:rsidRDefault="00831177" w:rsidP="00831177">
      <w:pPr>
        <w:spacing w:line="320" w:lineRule="exact"/>
        <w:jc w:val="center"/>
        <w:rPr>
          <w:rFonts w:asciiTheme="majorHAnsi" w:hAnsiTheme="majorHAnsi"/>
        </w:rPr>
      </w:pPr>
    </w:p>
    <w:p w14:paraId="16D90D38" w14:textId="77777777" w:rsidR="00831177" w:rsidRDefault="00831177" w:rsidP="00831177">
      <w:pPr>
        <w:spacing w:line="320" w:lineRule="exact"/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Laudatio </w:t>
      </w:r>
      <w:bookmarkStart w:id="0" w:name="_GoBack"/>
      <w:bookmarkEnd w:id="0"/>
    </w:p>
    <w:p w14:paraId="1FDCCCED" w14:textId="77777777" w:rsidR="00831177" w:rsidRPr="00831177" w:rsidRDefault="00831177" w:rsidP="00831177">
      <w:pPr>
        <w:spacing w:line="320" w:lineRule="exact"/>
        <w:jc w:val="center"/>
        <w:rPr>
          <w:rFonts w:asciiTheme="majorHAnsi" w:hAnsiTheme="majorHAnsi"/>
          <w:b/>
          <w:smallCaps/>
        </w:rPr>
      </w:pPr>
      <w:r>
        <w:rPr>
          <w:rFonts w:asciiTheme="majorHAnsi" w:hAnsiTheme="majorHAnsi"/>
          <w:b/>
        </w:rPr>
        <w:t xml:space="preserve">Prof. </w:t>
      </w:r>
      <w:r w:rsidRPr="00831177">
        <w:rPr>
          <w:rFonts w:asciiTheme="majorHAnsi" w:hAnsiTheme="majorHAnsi"/>
          <w:b/>
          <w:smallCaps/>
        </w:rPr>
        <w:t>Ivano Dionigi</w:t>
      </w:r>
    </w:p>
    <w:p w14:paraId="74AE60AF" w14:textId="77777777" w:rsidR="00831177" w:rsidRPr="00831177" w:rsidRDefault="00831177" w:rsidP="00831177">
      <w:pPr>
        <w:spacing w:line="320" w:lineRule="exact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Magnifico Rettore</w:t>
      </w:r>
    </w:p>
    <w:p w14:paraId="60C00971" w14:textId="77777777" w:rsidR="00C07609" w:rsidRPr="009B6C94" w:rsidRDefault="00C07609" w:rsidP="009B6C94">
      <w:pPr>
        <w:spacing w:line="320" w:lineRule="exact"/>
        <w:rPr>
          <w:rFonts w:asciiTheme="majorHAnsi" w:hAnsiTheme="majorHAnsi"/>
        </w:rPr>
      </w:pPr>
    </w:p>
    <w:p w14:paraId="4237153C" w14:textId="77777777" w:rsidR="00831177" w:rsidRPr="00831177" w:rsidRDefault="00831177" w:rsidP="00831177">
      <w:pPr>
        <w:spacing w:line="320" w:lineRule="exact"/>
        <w:ind w:firstLine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«Filologia», </w:t>
      </w:r>
      <w:proofErr w:type="gramStart"/>
      <w:r>
        <w:rPr>
          <w:rFonts w:asciiTheme="majorHAnsi" w:hAnsiTheme="majorHAnsi"/>
          <w:b/>
        </w:rPr>
        <w:t>ovvero</w:t>
      </w:r>
      <w:proofErr w:type="gramEnd"/>
      <w:r>
        <w:rPr>
          <w:rFonts w:asciiTheme="majorHAnsi" w:hAnsiTheme="majorHAnsi"/>
          <w:b/>
        </w:rPr>
        <w:t xml:space="preserve"> «</w:t>
      </w:r>
      <w:r>
        <w:rPr>
          <w:rFonts w:asciiTheme="majorHAnsi" w:hAnsiTheme="majorHAnsi"/>
          <w:b/>
          <w:i/>
        </w:rPr>
        <w:t xml:space="preserve">pietas </w:t>
      </w:r>
      <w:r>
        <w:rPr>
          <w:rFonts w:asciiTheme="majorHAnsi" w:hAnsiTheme="majorHAnsi"/>
          <w:b/>
        </w:rPr>
        <w:t>per la tradizione viva»</w:t>
      </w:r>
    </w:p>
    <w:p w14:paraId="563668D3" w14:textId="77777777" w:rsidR="00717787" w:rsidRDefault="00717787" w:rsidP="009B6C94">
      <w:pPr>
        <w:spacing w:line="320" w:lineRule="exact"/>
        <w:ind w:firstLine="0"/>
        <w:rPr>
          <w:rFonts w:asciiTheme="majorHAnsi" w:hAnsiTheme="majorHAnsi"/>
          <w:b/>
        </w:rPr>
      </w:pPr>
    </w:p>
    <w:p w14:paraId="0060522E" w14:textId="77777777" w:rsidR="00831177" w:rsidRPr="00F45029" w:rsidRDefault="00831177" w:rsidP="00831177">
      <w:pPr>
        <w:spacing w:line="320" w:lineRule="exact"/>
        <w:ind w:firstLine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Oggi l’Alma Mater Studiorum – Università di Bologna </w:t>
      </w:r>
      <w:r w:rsidR="001A1FFC">
        <w:rPr>
          <w:rFonts w:asciiTheme="majorHAnsi" w:hAnsiTheme="majorHAnsi"/>
        </w:rPr>
        <w:t>saluta</w:t>
      </w:r>
      <w:r>
        <w:rPr>
          <w:rFonts w:asciiTheme="majorHAnsi" w:hAnsiTheme="majorHAnsi"/>
        </w:rPr>
        <w:t xml:space="preserve"> nel Prof. Massimo Cacciari non solo un maestro degli studi filosofici, ma un “filologo” nel senso pieno e perentorio della parola; un pensatore che cerca il </w:t>
      </w:r>
      <w:r>
        <w:rPr>
          <w:rFonts w:asciiTheme="majorHAnsi" w:hAnsiTheme="majorHAnsi"/>
          <w:i/>
        </w:rPr>
        <w:t xml:space="preserve">logos </w:t>
      </w:r>
      <w:r>
        <w:rPr>
          <w:rFonts w:asciiTheme="majorHAnsi" w:hAnsiTheme="majorHAnsi"/>
        </w:rPr>
        <w:t>in tutta la sua</w:t>
      </w:r>
      <w:r w:rsidR="00C16CCF">
        <w:rPr>
          <w:rFonts w:asciiTheme="majorHAnsi" w:hAnsiTheme="majorHAnsi"/>
        </w:rPr>
        <w:t xml:space="preserve"> profondità</w:t>
      </w:r>
      <w:r>
        <w:rPr>
          <w:rFonts w:asciiTheme="majorHAnsi" w:hAnsiTheme="majorHAnsi"/>
        </w:rPr>
        <w:t xml:space="preserve"> e che sa vedere nella “filologia” – così lui ha scritto –</w:t>
      </w:r>
      <w:proofErr w:type="gramStart"/>
      <w:r>
        <w:rPr>
          <w:rFonts w:asciiTheme="majorHAnsi" w:hAnsiTheme="majorHAnsi"/>
        </w:rPr>
        <w:t xml:space="preserve">  </w:t>
      </w:r>
      <w:proofErr w:type="gramEnd"/>
      <w:r>
        <w:rPr>
          <w:rFonts w:asciiTheme="majorHAnsi" w:hAnsiTheme="majorHAnsi"/>
        </w:rPr>
        <w:t xml:space="preserve">«la </w:t>
      </w:r>
      <w:r>
        <w:rPr>
          <w:rFonts w:asciiTheme="majorHAnsi" w:hAnsiTheme="majorHAnsi"/>
          <w:i/>
        </w:rPr>
        <w:t xml:space="preserve">pietas </w:t>
      </w:r>
      <w:r>
        <w:rPr>
          <w:rFonts w:asciiTheme="majorHAnsi" w:hAnsiTheme="majorHAnsi"/>
        </w:rPr>
        <w:t xml:space="preserve">per la tradizione viva», l’«amore per il classico come cardine delle nostre inquietudini». </w:t>
      </w:r>
    </w:p>
    <w:p w14:paraId="0A3D54EE" w14:textId="77777777" w:rsidR="00C16CCF" w:rsidRDefault="00831177" w:rsidP="00831177">
      <w:pPr>
        <w:spacing w:line="320" w:lineRule="exact"/>
        <w:ind w:firstLine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Nessuna, fra le numerose opere di Massimo Cacciari, prescinde dal rapporto antico / moderno; molte affrontano in maniera tanto diretta quanto feconda il pensiero dei principali filosofi antichi; tutte costituiscono una riflessione sulla concreta temporalità e storicità </w:t>
      </w:r>
      <w:proofErr w:type="gramStart"/>
      <w:r>
        <w:rPr>
          <w:rFonts w:asciiTheme="majorHAnsi" w:hAnsiTheme="majorHAnsi"/>
        </w:rPr>
        <w:t>del</w:t>
      </w:r>
      <w:proofErr w:type="gramEnd"/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pensare</w:t>
      </w:r>
      <w:proofErr w:type="gramEnd"/>
      <w:r>
        <w:rPr>
          <w:rFonts w:asciiTheme="majorHAnsi" w:hAnsiTheme="majorHAnsi"/>
        </w:rPr>
        <w:t>, entro la quale temi e idee classici trovano la loro coerente collocazione quali elementi di un orizzonte imprescindibile.</w:t>
      </w:r>
    </w:p>
    <w:p w14:paraId="6DEFD400" w14:textId="77777777" w:rsidR="00C16CCF" w:rsidRDefault="00C16CCF" w:rsidP="00C16CCF">
      <w:pPr>
        <w:spacing w:line="320" w:lineRule="exact"/>
        <w:ind w:firstLine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Un orizzonte che è insieme temporale e spaziale, perché l’antichità di Massimo Cacciari è innanzitutto fatta di </w:t>
      </w:r>
      <w:proofErr w:type="spellStart"/>
      <w:r>
        <w:rPr>
          <w:rFonts w:asciiTheme="majorHAnsi" w:hAnsiTheme="majorHAnsi"/>
          <w:i/>
        </w:rPr>
        <w:t>topoi</w:t>
      </w:r>
      <w:proofErr w:type="spellEnd"/>
      <w:r>
        <w:rPr>
          <w:rFonts w:asciiTheme="majorHAnsi" w:hAnsiTheme="majorHAnsi"/>
        </w:rPr>
        <w:t xml:space="preserve">, di “luoghi” che è impossibile non attraversare e riattraversare di continuo; uno spazio dove, secondo le sue più recenti parole: </w:t>
      </w:r>
      <w:proofErr w:type="gramStart"/>
      <w:r>
        <w:rPr>
          <w:rFonts w:asciiTheme="majorHAnsi" w:hAnsiTheme="majorHAnsi"/>
        </w:rPr>
        <w:t>«</w:t>
      </w:r>
      <w:proofErr w:type="gramEnd"/>
      <w:r>
        <w:rPr>
          <w:rFonts w:asciiTheme="majorHAnsi" w:hAnsiTheme="majorHAnsi"/>
        </w:rPr>
        <w:t xml:space="preserve">le vie […] sono </w:t>
      </w:r>
      <w:proofErr w:type="spellStart"/>
      <w:r>
        <w:rPr>
          <w:rFonts w:asciiTheme="majorHAnsi" w:hAnsiTheme="majorHAnsi"/>
        </w:rPr>
        <w:t>palintrope</w:t>
      </w:r>
      <w:proofErr w:type="spellEnd"/>
      <w:r>
        <w:rPr>
          <w:rFonts w:asciiTheme="majorHAnsi" w:hAnsiTheme="majorHAnsi"/>
        </w:rPr>
        <w:t xml:space="preserve">, riavvolgentesi su se stesse, e spesso per avanzare ritornano sui propri passi. </w:t>
      </w:r>
      <w:r w:rsidRPr="00C16CCF">
        <w:rPr>
          <w:rFonts w:asciiTheme="majorHAnsi" w:hAnsiTheme="majorHAnsi"/>
        </w:rPr>
        <w:t xml:space="preserve">Vie che ogni camminante </w:t>
      </w:r>
      <w:proofErr w:type="gramStart"/>
      <w:r w:rsidRPr="00C16CCF">
        <w:rPr>
          <w:rFonts w:asciiTheme="majorHAnsi" w:hAnsiTheme="majorHAnsi"/>
        </w:rPr>
        <w:t>produce</w:t>
      </w:r>
      <w:proofErr w:type="gramEnd"/>
      <w:r w:rsidRPr="00C16CCF">
        <w:rPr>
          <w:rFonts w:asciiTheme="majorHAnsi" w:hAnsiTheme="majorHAnsi"/>
        </w:rPr>
        <w:t xml:space="preserve"> col suo stesso andare</w:t>
      </w:r>
      <w:r>
        <w:rPr>
          <w:rFonts w:asciiTheme="majorHAnsi" w:hAnsiTheme="majorHAnsi"/>
        </w:rPr>
        <w:t xml:space="preserve">, e tuttavia esse costituiscono un </w:t>
      </w:r>
      <w:r>
        <w:rPr>
          <w:rFonts w:asciiTheme="majorHAnsi" w:hAnsiTheme="majorHAnsi"/>
          <w:i/>
        </w:rPr>
        <w:t>luogo</w:t>
      </w:r>
      <w:r>
        <w:rPr>
          <w:rFonts w:asciiTheme="majorHAnsi" w:hAnsiTheme="majorHAnsi"/>
        </w:rPr>
        <w:t xml:space="preserve">: tutte scaturite da quella originaria energia che dal “centro” proviene, e tutte aliene dal disporsi secondo ordini cronologici; tutte in qualche modo contemporanee». </w:t>
      </w:r>
    </w:p>
    <w:p w14:paraId="24A4EC4B" w14:textId="77777777" w:rsidR="00717787" w:rsidRDefault="00505908" w:rsidP="009B6C94">
      <w:pPr>
        <w:spacing w:line="320" w:lineRule="exact"/>
        <w:ind w:firstLine="0"/>
        <w:rPr>
          <w:rFonts w:asciiTheme="majorHAnsi" w:hAnsiTheme="majorHAnsi"/>
          <w:b/>
        </w:rPr>
      </w:pPr>
      <w:r>
        <w:rPr>
          <w:rFonts w:asciiTheme="majorHAnsi" w:hAnsiTheme="majorHAnsi"/>
        </w:rPr>
        <w:t>Mai, nell</w:t>
      </w:r>
      <w:r w:rsidR="001A1FFC">
        <w:rPr>
          <w:rFonts w:asciiTheme="majorHAnsi" w:hAnsiTheme="majorHAnsi"/>
        </w:rPr>
        <w:t xml:space="preserve">a sua </w:t>
      </w:r>
      <w:r>
        <w:rPr>
          <w:rFonts w:asciiTheme="majorHAnsi" w:hAnsiTheme="majorHAnsi"/>
        </w:rPr>
        <w:t>opera, l’antichità è</w:t>
      </w:r>
      <w:r w:rsidR="00910FA6">
        <w:rPr>
          <w:rFonts w:asciiTheme="majorHAnsi" w:hAnsiTheme="majorHAnsi"/>
        </w:rPr>
        <w:t xml:space="preserve"> eredità inerte o passivamente ricevuta; essa è sempre, con Goethe, “eredità da conquistare”, nella convinzione </w:t>
      </w:r>
      <w:r w:rsidR="00FA0DE7">
        <w:rPr>
          <w:rFonts w:asciiTheme="majorHAnsi" w:hAnsiTheme="majorHAnsi"/>
        </w:rPr>
        <w:t>che «“Classico</w:t>
      </w:r>
      <w:r w:rsidR="003E7DAB">
        <w:rPr>
          <w:rFonts w:asciiTheme="majorHAnsi" w:hAnsiTheme="majorHAnsi"/>
        </w:rPr>
        <w:t>”</w:t>
      </w:r>
      <w:r w:rsidR="00FA0DE7">
        <w:rPr>
          <w:rFonts w:asciiTheme="majorHAnsi" w:hAnsiTheme="majorHAnsi"/>
        </w:rPr>
        <w:t xml:space="preserve"> […] non esprime alcun rimando al passato, tantomeno al </w:t>
      </w:r>
      <w:r w:rsidR="00FA0DE7">
        <w:rPr>
          <w:rFonts w:asciiTheme="majorHAnsi" w:hAnsiTheme="majorHAnsi"/>
          <w:i/>
        </w:rPr>
        <w:t xml:space="preserve">morto </w:t>
      </w:r>
      <w:r w:rsidR="00FA0DE7">
        <w:rPr>
          <w:rFonts w:asciiTheme="majorHAnsi" w:hAnsiTheme="majorHAnsi"/>
        </w:rPr>
        <w:t xml:space="preserve">passato, bensì il più fiero contrasto al </w:t>
      </w:r>
      <w:r w:rsidR="00FA0DE7">
        <w:rPr>
          <w:rFonts w:asciiTheme="majorHAnsi" w:hAnsiTheme="majorHAnsi"/>
          <w:i/>
        </w:rPr>
        <w:t>modo</w:t>
      </w:r>
      <w:r w:rsidR="00FA0DE7">
        <w:rPr>
          <w:rFonts w:asciiTheme="majorHAnsi" w:hAnsiTheme="majorHAnsi"/>
        </w:rPr>
        <w:t xml:space="preserve">, </w:t>
      </w:r>
      <w:proofErr w:type="gramStart"/>
      <w:r w:rsidR="00FA0DE7">
        <w:rPr>
          <w:rFonts w:asciiTheme="majorHAnsi" w:hAnsiTheme="majorHAnsi"/>
        </w:rPr>
        <w:t>all’</w:t>
      </w:r>
      <w:proofErr w:type="gramEnd"/>
      <w:r w:rsidR="00FA0DE7">
        <w:rPr>
          <w:rFonts w:asciiTheme="majorHAnsi" w:hAnsiTheme="majorHAnsi"/>
        </w:rPr>
        <w:t xml:space="preserve">ora. “Classico” è ciò che </w:t>
      </w:r>
      <w:proofErr w:type="gramStart"/>
      <w:r w:rsidR="00FA0DE7">
        <w:rPr>
          <w:rFonts w:asciiTheme="majorHAnsi" w:hAnsiTheme="majorHAnsi"/>
          <w:i/>
        </w:rPr>
        <w:t>attualmente</w:t>
      </w:r>
      <w:proofErr w:type="gramEnd"/>
      <w:r w:rsidR="00FA0DE7">
        <w:rPr>
          <w:rFonts w:asciiTheme="majorHAnsi" w:hAnsiTheme="majorHAnsi"/>
          <w:i/>
        </w:rPr>
        <w:t xml:space="preserve"> </w:t>
      </w:r>
      <w:r w:rsidR="00FA0DE7">
        <w:rPr>
          <w:rFonts w:asciiTheme="majorHAnsi" w:hAnsiTheme="majorHAnsi"/>
        </w:rPr>
        <w:t xml:space="preserve">non è “moda”, non è il ritornello dell’ora; esso porta in sé un timbro di battaglia, un’esigenza di </w:t>
      </w:r>
      <w:r w:rsidR="00FA0DE7">
        <w:rPr>
          <w:rFonts w:asciiTheme="majorHAnsi" w:hAnsiTheme="majorHAnsi"/>
          <w:i/>
        </w:rPr>
        <w:t>contra-dizione</w:t>
      </w:r>
      <w:r w:rsidR="00FA0DE7">
        <w:rPr>
          <w:rFonts w:asciiTheme="majorHAnsi" w:hAnsiTheme="majorHAnsi"/>
        </w:rPr>
        <w:t xml:space="preserve">. I classici dovrebbero </w:t>
      </w:r>
      <w:r w:rsidR="00FA0DE7">
        <w:rPr>
          <w:rFonts w:asciiTheme="majorHAnsi" w:hAnsiTheme="majorHAnsi"/>
          <w:i/>
        </w:rPr>
        <w:t xml:space="preserve">armarci </w:t>
      </w:r>
      <w:r w:rsidR="00FA0DE7">
        <w:rPr>
          <w:rFonts w:asciiTheme="majorHAnsi" w:hAnsiTheme="majorHAnsi"/>
        </w:rPr>
        <w:t xml:space="preserve">per affrontare l’ora, </w:t>
      </w:r>
      <w:proofErr w:type="gramStart"/>
      <w:r w:rsidR="00FA0DE7">
        <w:rPr>
          <w:rFonts w:asciiTheme="majorHAnsi" w:hAnsiTheme="majorHAnsi"/>
        </w:rPr>
        <w:t>questa</w:t>
      </w:r>
      <w:proofErr w:type="gramEnd"/>
      <w:r w:rsidR="00FA0DE7">
        <w:rPr>
          <w:rFonts w:asciiTheme="majorHAnsi" w:hAnsiTheme="majorHAnsi"/>
        </w:rPr>
        <w:t xml:space="preserve"> ora, </w:t>
      </w:r>
      <w:r w:rsidR="00FA0DE7">
        <w:rPr>
          <w:rFonts w:asciiTheme="majorHAnsi" w:hAnsiTheme="majorHAnsi"/>
          <w:i/>
        </w:rPr>
        <w:t xml:space="preserve">en </w:t>
      </w:r>
      <w:proofErr w:type="spellStart"/>
      <w:r w:rsidR="00FA0DE7">
        <w:rPr>
          <w:rFonts w:asciiTheme="majorHAnsi" w:hAnsiTheme="majorHAnsi"/>
          <w:i/>
        </w:rPr>
        <w:t>parrhesia</w:t>
      </w:r>
      <w:proofErr w:type="spellEnd"/>
      <w:r w:rsidR="00FA0DE7">
        <w:rPr>
          <w:rFonts w:asciiTheme="majorHAnsi" w:hAnsiTheme="majorHAnsi"/>
        </w:rPr>
        <w:t xml:space="preserve">. </w:t>
      </w:r>
      <w:proofErr w:type="gramStart"/>
      <w:r w:rsidR="00FA0DE7">
        <w:rPr>
          <w:rFonts w:asciiTheme="majorHAnsi" w:hAnsiTheme="majorHAnsi"/>
        </w:rPr>
        <w:t>L’opposto, dunque, di un invito al ritiro, alla fuga, o al disprezzo dell’ora</w:t>
      </w:r>
      <w:proofErr w:type="gramEnd"/>
      <w:r w:rsidR="00FA0DE7">
        <w:rPr>
          <w:rFonts w:asciiTheme="majorHAnsi" w:hAnsiTheme="majorHAnsi"/>
        </w:rPr>
        <w:t xml:space="preserve">. Ciò che è classico comprende l’ora in tutta la sua potenza </w:t>
      </w:r>
      <w:r w:rsidR="00FA0DE7">
        <w:rPr>
          <w:rFonts w:asciiTheme="majorHAnsi" w:hAnsiTheme="majorHAnsi"/>
          <w:i/>
        </w:rPr>
        <w:t>e nei suoi limiti</w:t>
      </w:r>
      <w:r w:rsidR="00FA0DE7">
        <w:rPr>
          <w:rFonts w:asciiTheme="majorHAnsi" w:hAnsiTheme="majorHAnsi"/>
        </w:rPr>
        <w:t>. Comprende l’ora non per adattarvisi, ma p</w:t>
      </w:r>
      <w:r w:rsidR="00831177">
        <w:rPr>
          <w:rFonts w:asciiTheme="majorHAnsi" w:hAnsiTheme="majorHAnsi"/>
        </w:rPr>
        <w:t xml:space="preserve">er resisterle e </w:t>
      </w:r>
      <w:proofErr w:type="gramStart"/>
      <w:r w:rsidR="00831177">
        <w:rPr>
          <w:rFonts w:asciiTheme="majorHAnsi" w:hAnsiTheme="majorHAnsi"/>
        </w:rPr>
        <w:t>sopravviverle»</w:t>
      </w:r>
      <w:proofErr w:type="gramEnd"/>
      <w:r w:rsidR="00831177">
        <w:rPr>
          <w:rStyle w:val="Rimandonotaapidipagina"/>
          <w:rFonts w:asciiTheme="majorHAnsi" w:hAnsiTheme="majorHAnsi"/>
        </w:rPr>
        <w:footnoteReference w:id="1"/>
      </w:r>
      <w:r w:rsidR="00FA0DE7">
        <w:rPr>
          <w:rFonts w:asciiTheme="majorHAnsi" w:hAnsiTheme="majorHAnsi"/>
        </w:rPr>
        <w:t xml:space="preserve">. </w:t>
      </w:r>
      <w:r w:rsidR="00717787" w:rsidRPr="00717787">
        <w:rPr>
          <w:rFonts w:asciiTheme="majorHAnsi" w:hAnsiTheme="majorHAnsi"/>
          <w:b/>
        </w:rPr>
        <w:t xml:space="preserve"> </w:t>
      </w:r>
    </w:p>
    <w:p w14:paraId="6609BDF4" w14:textId="77777777" w:rsidR="00831177" w:rsidRDefault="00FA0DE7" w:rsidP="009B6C94">
      <w:pPr>
        <w:spacing w:line="320" w:lineRule="exact"/>
        <w:ind w:firstLine="0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 xml:space="preserve">Tale concezione perennemente e fermamente “antagonistica” della classicità, intesa come testimonianza stessa </w:t>
      </w:r>
      <w:r w:rsidR="00E87EDC">
        <w:rPr>
          <w:rFonts w:asciiTheme="majorHAnsi" w:hAnsiTheme="majorHAnsi"/>
        </w:rPr>
        <w:t xml:space="preserve">di un pensare sempre “in situazione” e sempre conscio del proprio divenire («l’ora in tutta la sua potenza </w:t>
      </w:r>
      <w:r w:rsidR="00E87EDC">
        <w:rPr>
          <w:rFonts w:asciiTheme="majorHAnsi" w:hAnsiTheme="majorHAnsi"/>
          <w:i/>
        </w:rPr>
        <w:t>e nei suoi limiti</w:t>
      </w:r>
      <w:r w:rsidR="00E87EDC">
        <w:rPr>
          <w:rFonts w:asciiTheme="majorHAnsi" w:hAnsiTheme="majorHAnsi"/>
        </w:rPr>
        <w:t>»), ha consentito a Massimo Cacciari non solo di offrire letture originalissime e illuminanti di singole opere antiche,</w:t>
      </w:r>
      <w:r w:rsidR="003E7DAB">
        <w:rPr>
          <w:rFonts w:asciiTheme="majorHAnsi" w:hAnsiTheme="majorHAnsi"/>
        </w:rPr>
        <w:t xml:space="preserve"> non solo di indagare, per via etimologica, i termini fondanti del lessico intellettuale europeo,</w:t>
      </w:r>
      <w:r w:rsidR="00E87EDC">
        <w:rPr>
          <w:rFonts w:asciiTheme="majorHAnsi" w:hAnsiTheme="majorHAnsi"/>
        </w:rPr>
        <w:t xml:space="preserve"> ma anche di </w:t>
      </w:r>
      <w:r w:rsidR="00E87EDC">
        <w:rPr>
          <w:rFonts w:asciiTheme="majorHAnsi" w:hAnsiTheme="majorHAnsi"/>
        </w:rPr>
        <w:lastRenderedPageBreak/>
        <w:t xml:space="preserve">riconoscere i percorsi meno visibili di un perpetuo </w:t>
      </w:r>
      <w:proofErr w:type="spellStart"/>
      <w:r w:rsidR="00E87EDC">
        <w:rPr>
          <w:rFonts w:asciiTheme="majorHAnsi" w:hAnsiTheme="majorHAnsi"/>
          <w:i/>
        </w:rPr>
        <w:t>Fortleben</w:t>
      </w:r>
      <w:proofErr w:type="spellEnd"/>
      <w:r w:rsidR="00E87EDC">
        <w:rPr>
          <w:rFonts w:asciiTheme="majorHAnsi" w:hAnsiTheme="majorHAnsi"/>
          <w:i/>
        </w:rPr>
        <w:t xml:space="preserve"> </w:t>
      </w:r>
      <w:r w:rsidR="00E87EDC">
        <w:rPr>
          <w:rFonts w:asciiTheme="majorHAnsi" w:hAnsiTheme="majorHAnsi"/>
        </w:rPr>
        <w:t>classico che diviene misura e paragone inevitabile della modernità e contemporaneità</w:t>
      </w:r>
      <w:proofErr w:type="gramEnd"/>
      <w:r w:rsidR="00E87EDC">
        <w:rPr>
          <w:rFonts w:asciiTheme="majorHAnsi" w:hAnsiTheme="majorHAnsi"/>
        </w:rPr>
        <w:t xml:space="preserve">. </w:t>
      </w:r>
    </w:p>
    <w:p w14:paraId="1EC92923" w14:textId="77777777" w:rsidR="00F503F1" w:rsidRDefault="00E87EDC" w:rsidP="009B6C94">
      <w:pPr>
        <w:spacing w:line="320" w:lineRule="exact"/>
        <w:ind w:firstLine="0"/>
        <w:rPr>
          <w:rFonts w:asciiTheme="majorHAnsi" w:hAnsiTheme="majorHAnsi" w:cs="TTE2CA4418t00"/>
        </w:rPr>
      </w:pPr>
      <w:r>
        <w:rPr>
          <w:rFonts w:asciiTheme="majorHAnsi" w:hAnsiTheme="majorHAnsi"/>
        </w:rPr>
        <w:t xml:space="preserve">È </w:t>
      </w:r>
      <w:proofErr w:type="gramStart"/>
      <w:r>
        <w:rPr>
          <w:rFonts w:asciiTheme="majorHAnsi" w:hAnsiTheme="majorHAnsi"/>
        </w:rPr>
        <w:t>significativo</w:t>
      </w:r>
      <w:proofErr w:type="gramEnd"/>
      <w:r>
        <w:rPr>
          <w:rFonts w:asciiTheme="majorHAnsi" w:hAnsiTheme="majorHAnsi"/>
        </w:rPr>
        <w:t xml:space="preserve"> che anche in un’opera d’esordio come </w:t>
      </w:r>
      <w:proofErr w:type="spellStart"/>
      <w:r>
        <w:rPr>
          <w:rFonts w:asciiTheme="majorHAnsi" w:hAnsiTheme="majorHAnsi"/>
          <w:i/>
        </w:rPr>
        <w:t>Krisis</w:t>
      </w:r>
      <w:proofErr w:type="spellEnd"/>
      <w:r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</w:rPr>
        <w:t>(</w:t>
      </w:r>
      <w:r w:rsidRPr="009E0870">
        <w:rPr>
          <w:rFonts w:asciiTheme="majorHAnsi" w:hAnsiTheme="majorHAnsi" w:cs="TTE2CA3980t00"/>
        </w:rPr>
        <w:t>1975</w:t>
      </w:r>
      <w:r>
        <w:rPr>
          <w:rFonts w:asciiTheme="majorHAnsi" w:hAnsiTheme="majorHAnsi" w:cs="TTE2CA3980t00"/>
        </w:rPr>
        <w:t>), dedicata alla tradizione del “pensiero negativo” tra</w:t>
      </w:r>
      <w:r w:rsidR="0014190D">
        <w:rPr>
          <w:rFonts w:asciiTheme="majorHAnsi" w:hAnsiTheme="majorHAnsi" w:cs="TTE2CA3980t00"/>
        </w:rPr>
        <w:t xml:space="preserve"> Nietzsche e Wittgenstein</w:t>
      </w:r>
      <w:r w:rsidR="006F2AAF">
        <w:rPr>
          <w:rFonts w:asciiTheme="majorHAnsi" w:hAnsiTheme="majorHAnsi" w:cs="TTE2CA3980t00"/>
        </w:rPr>
        <w:t xml:space="preserve"> e apparentemente aliena da ogni confronto diretto con la classicità, </w:t>
      </w:r>
      <w:r w:rsidR="00232FA0">
        <w:rPr>
          <w:rFonts w:asciiTheme="majorHAnsi" w:hAnsiTheme="majorHAnsi" w:cs="TTE2CA3980t00"/>
        </w:rPr>
        <w:t xml:space="preserve">l’eredità antica emerga continuamente in filigrana attraverso figure quali </w:t>
      </w:r>
      <w:proofErr w:type="spellStart"/>
      <w:r w:rsidR="00232FA0">
        <w:rPr>
          <w:rFonts w:asciiTheme="majorHAnsi" w:hAnsiTheme="majorHAnsi" w:cs="TTE2CA3980t00"/>
        </w:rPr>
        <w:t>Hölderlin</w:t>
      </w:r>
      <w:proofErr w:type="spellEnd"/>
      <w:r w:rsidR="00232FA0">
        <w:rPr>
          <w:rFonts w:asciiTheme="majorHAnsi" w:hAnsiTheme="majorHAnsi" w:cs="TTE2CA3980t00"/>
        </w:rPr>
        <w:t xml:space="preserve">, George o </w:t>
      </w:r>
      <w:proofErr w:type="spellStart"/>
      <w:r w:rsidR="00232FA0">
        <w:rPr>
          <w:rFonts w:asciiTheme="majorHAnsi" w:hAnsiTheme="majorHAnsi" w:cs="TTE2CA3980t00"/>
        </w:rPr>
        <w:t>Rilke</w:t>
      </w:r>
      <w:proofErr w:type="spellEnd"/>
      <w:r w:rsidR="00232FA0">
        <w:rPr>
          <w:rFonts w:asciiTheme="majorHAnsi" w:hAnsiTheme="majorHAnsi" w:cs="TTE2CA3980t00"/>
        </w:rPr>
        <w:t xml:space="preserve">, </w:t>
      </w:r>
      <w:r w:rsidR="0014190D">
        <w:rPr>
          <w:rFonts w:asciiTheme="majorHAnsi" w:hAnsiTheme="majorHAnsi" w:cs="TTE2CA3980t00"/>
        </w:rPr>
        <w:t xml:space="preserve">o </w:t>
      </w:r>
      <w:r w:rsidR="00232FA0">
        <w:rPr>
          <w:rFonts w:asciiTheme="majorHAnsi" w:hAnsiTheme="majorHAnsi" w:cs="TTE2CA3980t00"/>
        </w:rPr>
        <w:t xml:space="preserve">attraverso l’indagine della “filosofia della musica” tra Wagner e Mahler, </w:t>
      </w:r>
      <w:r w:rsidR="00B86E97">
        <w:rPr>
          <w:rFonts w:asciiTheme="majorHAnsi" w:hAnsiTheme="majorHAnsi" w:cs="TTE2CA3980t00"/>
        </w:rPr>
        <w:t xml:space="preserve">secondo una prospettiva che interesserà poi tutti gli «uomini postumi» della cultura viennese analizzati in </w:t>
      </w:r>
      <w:r w:rsidR="00B86E97" w:rsidRPr="009E0870">
        <w:rPr>
          <w:rFonts w:asciiTheme="majorHAnsi" w:hAnsiTheme="majorHAnsi" w:cs="TTE2CA4418t00"/>
          <w:i/>
        </w:rPr>
        <w:t xml:space="preserve">Dallo </w:t>
      </w:r>
      <w:proofErr w:type="spellStart"/>
      <w:r w:rsidR="00B86E97" w:rsidRPr="009E0870">
        <w:rPr>
          <w:rFonts w:asciiTheme="majorHAnsi" w:hAnsiTheme="majorHAnsi" w:cs="TTE2CA4418t00"/>
          <w:i/>
        </w:rPr>
        <w:t>Steinhof</w:t>
      </w:r>
      <w:proofErr w:type="spellEnd"/>
      <w:r w:rsidR="00B86E97">
        <w:rPr>
          <w:rFonts w:asciiTheme="majorHAnsi" w:hAnsiTheme="majorHAnsi" w:cs="TTE2CA4418t00"/>
          <w:i/>
        </w:rPr>
        <w:t xml:space="preserve"> </w:t>
      </w:r>
      <w:r w:rsidR="00B86E97">
        <w:rPr>
          <w:rFonts w:asciiTheme="majorHAnsi" w:hAnsiTheme="majorHAnsi" w:cs="TTE2CA4418t00"/>
        </w:rPr>
        <w:t>(1980, 2005</w:t>
      </w:r>
      <w:r w:rsidR="00B86E97">
        <w:rPr>
          <w:rFonts w:asciiTheme="majorHAnsi" w:hAnsiTheme="majorHAnsi" w:cs="TTE2CA4418t00"/>
          <w:vertAlign w:val="superscript"/>
        </w:rPr>
        <w:t>2</w:t>
      </w:r>
      <w:r w:rsidR="00F708A7">
        <w:rPr>
          <w:rFonts w:asciiTheme="majorHAnsi" w:hAnsiTheme="majorHAnsi" w:cs="TTE2CA4418t00"/>
        </w:rPr>
        <w:t xml:space="preserve">) o tutte le riflessioni sulla nozione di “Legge” affidate a </w:t>
      </w:r>
      <w:r w:rsidR="00F708A7">
        <w:rPr>
          <w:rFonts w:asciiTheme="majorHAnsi" w:hAnsiTheme="majorHAnsi" w:cs="TTE2CA4418t00"/>
          <w:i/>
        </w:rPr>
        <w:t xml:space="preserve">Icone della Legge </w:t>
      </w:r>
      <w:r w:rsidR="00F708A7">
        <w:rPr>
          <w:rFonts w:asciiTheme="majorHAnsi" w:hAnsiTheme="majorHAnsi" w:cs="TTE2CA4418t00"/>
        </w:rPr>
        <w:t>(1985, 2002</w:t>
      </w:r>
      <w:r w:rsidR="00F708A7">
        <w:rPr>
          <w:rFonts w:asciiTheme="majorHAnsi" w:hAnsiTheme="majorHAnsi" w:cs="TTE2CA4418t00"/>
          <w:vertAlign w:val="superscript"/>
        </w:rPr>
        <w:t>2</w:t>
      </w:r>
      <w:r w:rsidR="00F708A7">
        <w:rPr>
          <w:rFonts w:asciiTheme="majorHAnsi" w:hAnsiTheme="majorHAnsi" w:cs="TTE2CA4418t00"/>
        </w:rPr>
        <w:t>).</w:t>
      </w:r>
      <w:r w:rsidR="00B86E97">
        <w:rPr>
          <w:rFonts w:asciiTheme="majorHAnsi" w:hAnsiTheme="majorHAnsi" w:cs="TTE2CA4418t00"/>
        </w:rPr>
        <w:t xml:space="preserve"> </w:t>
      </w:r>
    </w:p>
    <w:p w14:paraId="263BE1FB" w14:textId="77777777" w:rsidR="00CB04D0" w:rsidRDefault="00232FA0" w:rsidP="009B6C94">
      <w:pPr>
        <w:spacing w:line="320" w:lineRule="exact"/>
        <w:ind w:firstLine="0"/>
        <w:rPr>
          <w:rFonts w:asciiTheme="majorHAnsi" w:hAnsiTheme="majorHAnsi" w:cs="TTE2CA3980t00"/>
        </w:rPr>
      </w:pPr>
      <w:r>
        <w:rPr>
          <w:rFonts w:asciiTheme="majorHAnsi" w:hAnsiTheme="majorHAnsi" w:cs="TTE2CA3980t00"/>
        </w:rPr>
        <w:t>Nelle opere successive, il confron</w:t>
      </w:r>
      <w:r w:rsidR="00F503F1">
        <w:rPr>
          <w:rFonts w:asciiTheme="majorHAnsi" w:hAnsiTheme="majorHAnsi" w:cs="TTE2CA3980t00"/>
        </w:rPr>
        <w:t>to con i classici</w:t>
      </w:r>
      <w:r w:rsidR="0014190D">
        <w:rPr>
          <w:rFonts w:asciiTheme="majorHAnsi" w:hAnsiTheme="majorHAnsi" w:cs="TTE2CA3980t00"/>
        </w:rPr>
        <w:t xml:space="preserve"> </w:t>
      </w:r>
      <w:r w:rsidR="00F503F1">
        <w:rPr>
          <w:rFonts w:asciiTheme="majorHAnsi" w:hAnsiTheme="majorHAnsi" w:cs="TTE2CA3980t00"/>
        </w:rPr>
        <w:t>diviene costante e sempre più vitale</w:t>
      </w:r>
      <w:r>
        <w:rPr>
          <w:rFonts w:asciiTheme="majorHAnsi" w:hAnsiTheme="majorHAnsi" w:cs="TTE2CA3980t00"/>
        </w:rPr>
        <w:t xml:space="preserve">. E la stessa classicità appare, attraverso le letture di Massimo Cacciari, una realtà </w:t>
      </w:r>
      <w:r w:rsidR="00B86E97">
        <w:rPr>
          <w:rFonts w:asciiTheme="majorHAnsi" w:hAnsiTheme="majorHAnsi" w:cs="TTE2CA3980t00"/>
        </w:rPr>
        <w:t xml:space="preserve">nient’affatto “monumentale”, nient’affatto coesa, omogenea </w:t>
      </w:r>
      <w:r w:rsidR="0014190D">
        <w:rPr>
          <w:rFonts w:asciiTheme="majorHAnsi" w:hAnsiTheme="majorHAnsi" w:cs="TTE2CA3980t00"/>
        </w:rPr>
        <w:t>o</w:t>
      </w:r>
      <w:r w:rsidR="00B86E97">
        <w:rPr>
          <w:rFonts w:asciiTheme="majorHAnsi" w:hAnsiTheme="majorHAnsi" w:cs="TTE2CA3980t00"/>
        </w:rPr>
        <w:t xml:space="preserve"> normativa</w:t>
      </w:r>
      <w:r>
        <w:rPr>
          <w:rFonts w:asciiTheme="majorHAnsi" w:hAnsiTheme="majorHAnsi" w:cs="TTE2CA3980t00"/>
        </w:rPr>
        <w:t>: la classicità</w:t>
      </w:r>
      <w:r w:rsidR="00B86E97">
        <w:rPr>
          <w:rFonts w:asciiTheme="majorHAnsi" w:hAnsiTheme="majorHAnsi" w:cs="TTE2CA3980t00"/>
        </w:rPr>
        <w:t>, insegna Cacciari,</w:t>
      </w:r>
      <w:r>
        <w:rPr>
          <w:rFonts w:asciiTheme="majorHAnsi" w:hAnsiTheme="majorHAnsi" w:cs="TTE2CA3980t00"/>
        </w:rPr>
        <w:t xml:space="preserve"> reca in sé il proprio</w:t>
      </w:r>
      <w:r w:rsidR="003E7DAB">
        <w:rPr>
          <w:rFonts w:asciiTheme="majorHAnsi" w:hAnsiTheme="majorHAnsi" w:cs="TTE2CA3980t00"/>
        </w:rPr>
        <w:t xml:space="preserve"> laborioso</w:t>
      </w:r>
      <w:r w:rsidR="0014190D">
        <w:rPr>
          <w:rFonts w:asciiTheme="majorHAnsi" w:hAnsiTheme="majorHAnsi" w:cs="TTE2CA3980t00"/>
        </w:rPr>
        <w:t xml:space="preserve"> perdurare</w:t>
      </w:r>
      <w:r>
        <w:rPr>
          <w:rFonts w:asciiTheme="majorHAnsi" w:hAnsiTheme="majorHAnsi" w:cs="TTE2CA3980t00"/>
          <w:i/>
        </w:rPr>
        <w:t xml:space="preserve"> </w:t>
      </w:r>
      <w:r>
        <w:rPr>
          <w:rFonts w:asciiTheme="majorHAnsi" w:hAnsiTheme="majorHAnsi" w:cs="TTE2CA3980t00"/>
        </w:rPr>
        <w:t>ed esibisce le proprie intime fratture; il suo sviluppo è tutt’altro che lineare o teleologicamente orientato, e sempre in essa prevalgono dialettica e conflitto su continuità e</w:t>
      </w:r>
      <w:r w:rsidR="00CB04D0">
        <w:rPr>
          <w:rFonts w:asciiTheme="majorHAnsi" w:hAnsiTheme="majorHAnsi" w:cs="TTE2CA3980t00"/>
        </w:rPr>
        <w:t xml:space="preserve"> lunga durata,</w:t>
      </w:r>
      <w:r>
        <w:rPr>
          <w:rFonts w:asciiTheme="majorHAnsi" w:hAnsiTheme="majorHAnsi" w:cs="TTE2CA3980t00"/>
        </w:rPr>
        <w:t xml:space="preserve"> si tratti di analizzare la tradizione platonica, la </w:t>
      </w:r>
      <w:proofErr w:type="spellStart"/>
      <w:r>
        <w:rPr>
          <w:rFonts w:asciiTheme="majorHAnsi" w:hAnsiTheme="majorHAnsi" w:cs="TTE2CA3980t00"/>
          <w:i/>
        </w:rPr>
        <w:t>novitas</w:t>
      </w:r>
      <w:proofErr w:type="spellEnd"/>
      <w:r>
        <w:rPr>
          <w:rFonts w:asciiTheme="majorHAnsi" w:hAnsiTheme="majorHAnsi" w:cs="TTE2CA3980t00"/>
          <w:i/>
        </w:rPr>
        <w:t xml:space="preserve"> </w:t>
      </w:r>
      <w:r>
        <w:rPr>
          <w:rFonts w:asciiTheme="majorHAnsi" w:hAnsiTheme="majorHAnsi" w:cs="TTE2CA3980t00"/>
        </w:rPr>
        <w:t xml:space="preserve">cristiana o </w:t>
      </w:r>
      <w:r w:rsidR="00CB04D0">
        <w:rPr>
          <w:rFonts w:asciiTheme="majorHAnsi" w:hAnsiTheme="majorHAnsi" w:cs="TTE2CA3980t00"/>
        </w:rPr>
        <w:t xml:space="preserve">la teologia agostiniana. Perché «il classico non rappresenta la “norma”, la condizione normale, il </w:t>
      </w:r>
      <w:proofErr w:type="gramStart"/>
      <w:r w:rsidR="00CB04D0">
        <w:rPr>
          <w:rFonts w:asciiTheme="majorHAnsi" w:hAnsiTheme="majorHAnsi" w:cs="TTE2CA3980t00"/>
          <w:i/>
        </w:rPr>
        <w:t>continuum</w:t>
      </w:r>
      <w:r w:rsidR="00CB04D0">
        <w:rPr>
          <w:rFonts w:asciiTheme="majorHAnsi" w:hAnsiTheme="majorHAnsi" w:cs="TTE2CA3980t00"/>
        </w:rPr>
        <w:t>, ma</w:t>
      </w:r>
      <w:proofErr w:type="gramEnd"/>
      <w:r w:rsidR="00CB04D0">
        <w:rPr>
          <w:rFonts w:asciiTheme="majorHAnsi" w:hAnsiTheme="majorHAnsi" w:cs="TTE2CA3980t00"/>
        </w:rPr>
        <w:t xml:space="preserve"> ciò che lo interrompe. Lo “stato di eccezione”, l’a</w:t>
      </w:r>
      <w:r w:rsidR="00F503F1">
        <w:rPr>
          <w:rFonts w:asciiTheme="majorHAnsi" w:hAnsiTheme="majorHAnsi" w:cs="TTE2CA3980t00"/>
        </w:rPr>
        <w:t xml:space="preserve">ttimo in cui occorre </w:t>
      </w:r>
      <w:proofErr w:type="gramStart"/>
      <w:r w:rsidR="00F503F1">
        <w:rPr>
          <w:rFonts w:asciiTheme="majorHAnsi" w:hAnsiTheme="majorHAnsi" w:cs="TTE2CA3980t00"/>
        </w:rPr>
        <w:t>decidere»</w:t>
      </w:r>
      <w:proofErr w:type="gramEnd"/>
      <w:r w:rsidR="00F503F1">
        <w:rPr>
          <w:rStyle w:val="Rimandonotaapidipagina"/>
          <w:rFonts w:asciiTheme="majorHAnsi" w:hAnsiTheme="majorHAnsi" w:cs="TTE2CA3980t00"/>
        </w:rPr>
        <w:footnoteReference w:id="2"/>
      </w:r>
      <w:r w:rsidR="00CB04D0">
        <w:rPr>
          <w:rFonts w:asciiTheme="majorHAnsi" w:hAnsiTheme="majorHAnsi" w:cs="TTE2CA3980t00"/>
        </w:rPr>
        <w:t xml:space="preserve">. </w:t>
      </w:r>
    </w:p>
    <w:p w14:paraId="625931D9" w14:textId="77777777" w:rsidR="00CB04D0" w:rsidRDefault="00CB04D0" w:rsidP="009B6C94">
      <w:pPr>
        <w:spacing w:line="320" w:lineRule="exact"/>
        <w:ind w:firstLine="0"/>
        <w:rPr>
          <w:rFonts w:asciiTheme="majorHAnsi" w:hAnsiTheme="majorHAnsi" w:cs="TTE2CA3980t00"/>
        </w:rPr>
      </w:pPr>
      <w:r>
        <w:rPr>
          <w:rFonts w:asciiTheme="majorHAnsi" w:hAnsiTheme="majorHAnsi" w:cs="TTE2CA3980t00"/>
        </w:rPr>
        <w:t>Tre, in sintesi, le linee di forza lungo le quali si è sviluppata l’incessante riflessione di Cacciari sul classico e sul</w:t>
      </w:r>
      <w:r w:rsidR="0014190D">
        <w:rPr>
          <w:rFonts w:asciiTheme="majorHAnsi" w:hAnsiTheme="majorHAnsi" w:cs="TTE2CA3980t00"/>
        </w:rPr>
        <w:t>la sua permanenza</w:t>
      </w:r>
      <w:r>
        <w:rPr>
          <w:rFonts w:asciiTheme="majorHAnsi" w:hAnsiTheme="majorHAnsi" w:cs="TTE2CA3980t00"/>
        </w:rPr>
        <w:t xml:space="preserve">: </w:t>
      </w:r>
      <w:r w:rsidR="00B86E97">
        <w:rPr>
          <w:rFonts w:asciiTheme="majorHAnsi" w:hAnsiTheme="majorHAnsi" w:cs="TTE2CA3980t00"/>
        </w:rPr>
        <w:t xml:space="preserve">la tradizione metafisica di origine platonica, analizzata nei suoi intimi legami con politica e </w:t>
      </w:r>
      <w:proofErr w:type="spellStart"/>
      <w:r w:rsidR="00B86E97">
        <w:rPr>
          <w:rFonts w:asciiTheme="majorHAnsi" w:hAnsiTheme="majorHAnsi" w:cs="TTE2CA3980t00"/>
          <w:i/>
        </w:rPr>
        <w:t>praxis</w:t>
      </w:r>
      <w:proofErr w:type="spellEnd"/>
      <w:r w:rsidR="00B86E97">
        <w:rPr>
          <w:rFonts w:asciiTheme="majorHAnsi" w:hAnsiTheme="majorHAnsi" w:cs="TTE2CA3980t00"/>
          <w:i/>
        </w:rPr>
        <w:t xml:space="preserve"> </w:t>
      </w:r>
      <w:r w:rsidR="00B86E97">
        <w:rPr>
          <w:rFonts w:asciiTheme="majorHAnsi" w:hAnsiTheme="majorHAnsi" w:cs="TTE2CA3980t00"/>
        </w:rPr>
        <w:t xml:space="preserve">storica; la tradizione teologica cristiana fra Paolo e Agostino, fino alle sue riletture medioevali e moderne; la tragedia intesa sia come fenomeno storico-letterario concreto, sia come incessante provocazione lanciata al pensiero metafisico e politologico. </w:t>
      </w:r>
      <w:r w:rsidR="00F503F1">
        <w:rPr>
          <w:rFonts w:asciiTheme="majorHAnsi" w:hAnsiTheme="majorHAnsi" w:cs="TTE2CA3980t00"/>
        </w:rPr>
        <w:t xml:space="preserve">Grossolano e fuorviante sarebbe discernere </w:t>
      </w:r>
      <w:r w:rsidR="00651133">
        <w:rPr>
          <w:rFonts w:asciiTheme="majorHAnsi" w:hAnsiTheme="majorHAnsi" w:cs="TTE2CA3980t00"/>
        </w:rPr>
        <w:t>troppo rigidamente le tre linee, per</w:t>
      </w:r>
      <w:r w:rsidR="0014190D">
        <w:rPr>
          <w:rFonts w:asciiTheme="majorHAnsi" w:hAnsiTheme="majorHAnsi" w:cs="TTE2CA3980t00"/>
        </w:rPr>
        <w:t xml:space="preserve">ché proprio la loro intima </w:t>
      </w:r>
      <w:r w:rsidR="00651133">
        <w:rPr>
          <w:rFonts w:asciiTheme="majorHAnsi" w:hAnsiTheme="majorHAnsi" w:cs="TTE2CA3980t00"/>
        </w:rPr>
        <w:t>connessione fa il carattere originale e magistrale di mo</w:t>
      </w:r>
      <w:r w:rsidR="003E7DAB">
        <w:rPr>
          <w:rFonts w:asciiTheme="majorHAnsi" w:hAnsiTheme="majorHAnsi" w:cs="TTE2CA3980t00"/>
        </w:rPr>
        <w:t>lte letture</w:t>
      </w:r>
      <w:r w:rsidR="0014190D">
        <w:rPr>
          <w:rFonts w:asciiTheme="majorHAnsi" w:hAnsiTheme="majorHAnsi" w:cs="TTE2CA3980t00"/>
        </w:rPr>
        <w:t xml:space="preserve"> da lui proposte</w:t>
      </w:r>
      <w:r w:rsidR="003E7DAB">
        <w:rPr>
          <w:rFonts w:asciiTheme="majorHAnsi" w:hAnsiTheme="majorHAnsi" w:cs="TTE2CA3980t00"/>
        </w:rPr>
        <w:t>, sempre caratterizzate da un</w:t>
      </w:r>
      <w:r w:rsidR="0014190D">
        <w:rPr>
          <w:rFonts w:asciiTheme="majorHAnsi" w:hAnsiTheme="majorHAnsi" w:cs="TTE2CA3980t00"/>
        </w:rPr>
        <w:t>’</w:t>
      </w:r>
      <w:r w:rsidR="003E7DAB">
        <w:rPr>
          <w:rFonts w:asciiTheme="majorHAnsi" w:hAnsiTheme="majorHAnsi" w:cs="TTE2CA3980t00"/>
        </w:rPr>
        <w:t xml:space="preserve">attenzione al </w:t>
      </w:r>
      <w:r w:rsidR="003E7DAB">
        <w:rPr>
          <w:rFonts w:asciiTheme="majorHAnsi" w:hAnsiTheme="majorHAnsi" w:cs="TTE2CA3980t00"/>
          <w:i/>
        </w:rPr>
        <w:t xml:space="preserve">logos </w:t>
      </w:r>
      <w:r w:rsidR="003E7DAB">
        <w:rPr>
          <w:rFonts w:asciiTheme="majorHAnsi" w:hAnsiTheme="majorHAnsi" w:cs="TTE2CA3980t00"/>
        </w:rPr>
        <w:t xml:space="preserve">inteso come </w:t>
      </w:r>
      <w:r w:rsidR="003E7DAB">
        <w:rPr>
          <w:rFonts w:asciiTheme="majorHAnsi" w:hAnsiTheme="majorHAnsi" w:cs="TTE2CA3980t00"/>
          <w:i/>
        </w:rPr>
        <w:t xml:space="preserve">ratio et </w:t>
      </w:r>
      <w:proofErr w:type="spellStart"/>
      <w:r w:rsidR="003E7DAB">
        <w:rPr>
          <w:rFonts w:asciiTheme="majorHAnsi" w:hAnsiTheme="majorHAnsi" w:cs="TTE2CA3980t00"/>
          <w:i/>
        </w:rPr>
        <w:t>oratio</w:t>
      </w:r>
      <w:proofErr w:type="spellEnd"/>
      <w:r w:rsidR="003E7DAB">
        <w:rPr>
          <w:rFonts w:asciiTheme="majorHAnsi" w:hAnsiTheme="majorHAnsi" w:cs="TTE2CA3980t00"/>
        </w:rPr>
        <w:t xml:space="preserve">, come esercizio del pensiero e come concreta realizzazione di quel pensiero nelle parole dei testi. </w:t>
      </w:r>
      <w:r w:rsidR="00651133">
        <w:rPr>
          <w:rFonts w:asciiTheme="majorHAnsi" w:hAnsiTheme="majorHAnsi" w:cs="TTE2CA3980t00"/>
        </w:rPr>
        <w:t xml:space="preserve">  </w:t>
      </w:r>
    </w:p>
    <w:p w14:paraId="12DA3F9B" w14:textId="77777777" w:rsidR="00F708A7" w:rsidRPr="00651133" w:rsidRDefault="00762EE5" w:rsidP="00651133">
      <w:pPr>
        <w:spacing w:line="320" w:lineRule="exact"/>
        <w:ind w:firstLine="0"/>
        <w:rPr>
          <w:rFonts w:asciiTheme="majorHAnsi" w:hAnsiTheme="majorHAnsi" w:cs="TTE2CA3980t00"/>
        </w:rPr>
      </w:pPr>
      <w:r>
        <w:rPr>
          <w:rFonts w:asciiTheme="majorHAnsi" w:hAnsiTheme="majorHAnsi" w:cs="TTE2CA3980t00"/>
        </w:rPr>
        <w:t>È doveroso ricordare, per quanto concerne il primo punto,</w:t>
      </w:r>
      <w:r w:rsidR="00651133">
        <w:rPr>
          <w:rFonts w:asciiTheme="majorHAnsi" w:hAnsiTheme="majorHAnsi" w:cs="TTE2CA3980t00"/>
        </w:rPr>
        <w:t xml:space="preserve"> il contributo fornito in </w:t>
      </w:r>
      <w:r w:rsidR="00651133">
        <w:rPr>
          <w:rFonts w:asciiTheme="majorHAnsi" w:hAnsiTheme="majorHAnsi" w:cs="TTE2CA3980t00"/>
          <w:i/>
        </w:rPr>
        <w:t xml:space="preserve">Dell’inizio </w:t>
      </w:r>
      <w:r w:rsidR="00651133">
        <w:rPr>
          <w:rFonts w:asciiTheme="majorHAnsi" w:hAnsiTheme="majorHAnsi" w:cs="TTE2CA3980t00"/>
        </w:rPr>
        <w:t>(</w:t>
      </w:r>
      <w:r w:rsidR="00651133" w:rsidRPr="009E0870">
        <w:rPr>
          <w:rFonts w:asciiTheme="majorHAnsi" w:hAnsiTheme="majorHAnsi" w:cs="TTE2CA3980t00"/>
        </w:rPr>
        <w:t>1990, 2001</w:t>
      </w:r>
      <w:r w:rsidR="00651133" w:rsidRPr="009E0870">
        <w:rPr>
          <w:rFonts w:asciiTheme="majorHAnsi" w:hAnsiTheme="majorHAnsi" w:cs="TTE2CA3980t00"/>
          <w:vertAlign w:val="superscript"/>
        </w:rPr>
        <w:t>2</w:t>
      </w:r>
      <w:r w:rsidR="00651133">
        <w:rPr>
          <w:rFonts w:asciiTheme="majorHAnsi" w:hAnsiTheme="majorHAnsi" w:cs="TTE2CA3980t00"/>
        </w:rPr>
        <w:t xml:space="preserve">): </w:t>
      </w:r>
      <w:r w:rsidR="00F708A7">
        <w:rPr>
          <w:rFonts w:asciiTheme="majorHAnsi" w:hAnsiTheme="majorHAnsi" w:cs="TTE2CA3980t00"/>
        </w:rPr>
        <w:t>dialogo serrato e frontale con</w:t>
      </w:r>
      <w:r w:rsidR="00651133">
        <w:rPr>
          <w:rFonts w:asciiTheme="majorHAnsi" w:hAnsiTheme="majorHAnsi" w:cs="TTE2CA3980t00"/>
        </w:rPr>
        <w:t xml:space="preserve"> le questioni poste da</w:t>
      </w:r>
      <w:r w:rsidR="00F708A7">
        <w:rPr>
          <w:rFonts w:asciiTheme="majorHAnsi" w:hAnsiTheme="majorHAnsi" w:cs="TTE2CA3980t00"/>
        </w:rPr>
        <w:t xml:space="preserve"> Platone (in special modo il</w:t>
      </w:r>
      <w:r w:rsidR="00651133">
        <w:rPr>
          <w:rFonts w:asciiTheme="majorHAnsi" w:hAnsiTheme="majorHAnsi" w:cs="TTE2CA3980t00"/>
        </w:rPr>
        <w:t xml:space="preserve"> Platone “parricida” del</w:t>
      </w:r>
      <w:r w:rsidR="00F708A7">
        <w:rPr>
          <w:rFonts w:asciiTheme="majorHAnsi" w:hAnsiTheme="majorHAnsi" w:cs="TTE2CA3980t00"/>
        </w:rPr>
        <w:t xml:space="preserve"> </w:t>
      </w:r>
      <w:r w:rsidR="00F708A7">
        <w:rPr>
          <w:rFonts w:asciiTheme="majorHAnsi" w:hAnsiTheme="majorHAnsi" w:cs="TTE2CA3980t00"/>
          <w:i/>
        </w:rPr>
        <w:t>Parmenide</w:t>
      </w:r>
      <w:r w:rsidR="00F708A7">
        <w:rPr>
          <w:rFonts w:asciiTheme="majorHAnsi" w:hAnsiTheme="majorHAnsi" w:cs="TTE2CA3980t00"/>
        </w:rPr>
        <w:t>) e con tutta la tradizione neoplatonica</w:t>
      </w:r>
      <w:r w:rsidR="00651133">
        <w:rPr>
          <w:rFonts w:asciiTheme="majorHAnsi" w:hAnsiTheme="majorHAnsi" w:cs="TTE2CA3980t00"/>
        </w:rPr>
        <w:t xml:space="preserve"> tardo-antica e medioevale, da </w:t>
      </w:r>
      <w:proofErr w:type="spellStart"/>
      <w:r w:rsidR="00651133">
        <w:rPr>
          <w:rFonts w:asciiTheme="majorHAnsi" w:hAnsiTheme="majorHAnsi" w:cs="TTE2CA3980t00"/>
        </w:rPr>
        <w:t>Plotino</w:t>
      </w:r>
      <w:proofErr w:type="spellEnd"/>
      <w:r w:rsidR="00651133">
        <w:rPr>
          <w:rFonts w:asciiTheme="majorHAnsi" w:hAnsiTheme="majorHAnsi" w:cs="TTE2CA3980t00"/>
        </w:rPr>
        <w:t xml:space="preserve">, </w:t>
      </w:r>
      <w:proofErr w:type="spellStart"/>
      <w:r w:rsidR="00651133">
        <w:rPr>
          <w:rFonts w:asciiTheme="majorHAnsi" w:hAnsiTheme="majorHAnsi" w:cs="TTE2CA3980t00"/>
        </w:rPr>
        <w:t>Proclo</w:t>
      </w:r>
      <w:proofErr w:type="spellEnd"/>
      <w:r w:rsidR="00651133">
        <w:rPr>
          <w:rFonts w:asciiTheme="majorHAnsi" w:hAnsiTheme="majorHAnsi" w:cs="TTE2CA3980t00"/>
        </w:rPr>
        <w:t xml:space="preserve"> e </w:t>
      </w:r>
      <w:proofErr w:type="spellStart"/>
      <w:r w:rsidR="00651133">
        <w:rPr>
          <w:rFonts w:asciiTheme="majorHAnsi" w:hAnsiTheme="majorHAnsi" w:cs="TTE2CA3980t00"/>
        </w:rPr>
        <w:t>Damascio</w:t>
      </w:r>
      <w:proofErr w:type="spellEnd"/>
      <w:r w:rsidR="00651133">
        <w:rPr>
          <w:rFonts w:asciiTheme="majorHAnsi" w:hAnsiTheme="majorHAnsi" w:cs="TTE2CA3980t00"/>
        </w:rPr>
        <w:t xml:space="preserve"> fino a Scoto </w:t>
      </w:r>
      <w:proofErr w:type="spellStart"/>
      <w:r w:rsidR="00651133">
        <w:rPr>
          <w:rFonts w:asciiTheme="majorHAnsi" w:hAnsiTheme="majorHAnsi" w:cs="TTE2CA3980t00"/>
        </w:rPr>
        <w:t>Eriugena</w:t>
      </w:r>
      <w:proofErr w:type="spellEnd"/>
      <w:r w:rsidR="00651133">
        <w:rPr>
          <w:rFonts w:asciiTheme="majorHAnsi" w:hAnsiTheme="majorHAnsi" w:cs="TTE2CA3980t00"/>
        </w:rPr>
        <w:t xml:space="preserve">, </w:t>
      </w:r>
      <w:proofErr w:type="spellStart"/>
      <w:r w:rsidR="00651133">
        <w:rPr>
          <w:rFonts w:asciiTheme="majorHAnsi" w:hAnsiTheme="majorHAnsi" w:cs="TTE2CA3980t00"/>
        </w:rPr>
        <w:t>Eckart</w:t>
      </w:r>
      <w:proofErr w:type="spellEnd"/>
      <w:r w:rsidR="00651133">
        <w:rPr>
          <w:rFonts w:asciiTheme="majorHAnsi" w:hAnsiTheme="majorHAnsi" w:cs="TTE2CA3980t00"/>
        </w:rPr>
        <w:t xml:space="preserve"> e Cusano; centrale, in questo dialogo, il nodo del rapporto fra </w:t>
      </w:r>
      <w:proofErr w:type="spellStart"/>
      <w:r w:rsidR="00651133">
        <w:rPr>
          <w:rFonts w:asciiTheme="majorHAnsi" w:hAnsiTheme="majorHAnsi" w:cs="TTE2CA3980t00"/>
          <w:i/>
        </w:rPr>
        <w:t>theoria</w:t>
      </w:r>
      <w:proofErr w:type="spellEnd"/>
      <w:r w:rsidR="00651133">
        <w:rPr>
          <w:rFonts w:asciiTheme="majorHAnsi" w:hAnsiTheme="majorHAnsi" w:cs="TTE2CA3980t00"/>
          <w:i/>
        </w:rPr>
        <w:t xml:space="preserve"> </w:t>
      </w:r>
      <w:r w:rsidR="00651133">
        <w:rPr>
          <w:rFonts w:asciiTheme="majorHAnsi" w:hAnsiTheme="majorHAnsi" w:cs="TTE2CA3980t00"/>
        </w:rPr>
        <w:t xml:space="preserve">e </w:t>
      </w:r>
      <w:proofErr w:type="spellStart"/>
      <w:r w:rsidR="00651133">
        <w:rPr>
          <w:rFonts w:asciiTheme="majorHAnsi" w:hAnsiTheme="majorHAnsi" w:cs="TTE2CA3980t00"/>
          <w:i/>
        </w:rPr>
        <w:t>praxis</w:t>
      </w:r>
      <w:proofErr w:type="spellEnd"/>
      <w:r w:rsidR="00651133">
        <w:rPr>
          <w:rFonts w:asciiTheme="majorHAnsi" w:hAnsiTheme="majorHAnsi" w:cs="TTE2CA3980t00"/>
        </w:rPr>
        <w:t>, intesi non come un astratto contrasto di «fare» e «non fare», ma come solidale «</w:t>
      </w:r>
      <w:proofErr w:type="spellStart"/>
      <w:r w:rsidR="00651133">
        <w:rPr>
          <w:rFonts w:asciiTheme="majorHAnsi" w:hAnsiTheme="majorHAnsi" w:cs="TTE2CA3980t00"/>
          <w:i/>
        </w:rPr>
        <w:t>drama</w:t>
      </w:r>
      <w:proofErr w:type="spellEnd"/>
      <w:r w:rsidR="00651133">
        <w:rPr>
          <w:rFonts w:asciiTheme="majorHAnsi" w:hAnsiTheme="majorHAnsi" w:cs="TTE2CA3980t00"/>
        </w:rPr>
        <w:t>» che fonda l’esserci stesso dell’uomo;</w:t>
      </w:r>
      <w:proofErr w:type="gramStart"/>
      <w:r w:rsidR="00651133">
        <w:rPr>
          <w:rFonts w:asciiTheme="majorHAnsi" w:hAnsiTheme="majorHAnsi" w:cs="TTE2CA3980t00"/>
        </w:rPr>
        <w:t xml:space="preserve"> </w:t>
      </w:r>
      <w:r w:rsidR="00F708A7">
        <w:rPr>
          <w:rFonts w:asciiTheme="majorHAnsi" w:hAnsiTheme="majorHAnsi" w:cs="TTE2CA3980t00"/>
        </w:rPr>
        <w:t xml:space="preserve"> </w:t>
      </w:r>
      <w:proofErr w:type="gramEnd"/>
      <w:r w:rsidR="00651133">
        <w:rPr>
          <w:rFonts w:asciiTheme="majorHAnsi" w:hAnsiTheme="majorHAnsi" w:cs="TTE2CA3980t00"/>
        </w:rPr>
        <w:t xml:space="preserve">donde una lettura assolutamente originale, e </w:t>
      </w:r>
      <w:r w:rsidR="003E7DAB">
        <w:rPr>
          <w:rFonts w:asciiTheme="majorHAnsi" w:hAnsiTheme="majorHAnsi" w:cs="TTE2CA3980t00"/>
        </w:rPr>
        <w:t>affrancata</w:t>
      </w:r>
      <w:r w:rsidR="00651133">
        <w:rPr>
          <w:rFonts w:asciiTheme="majorHAnsi" w:hAnsiTheme="majorHAnsi" w:cs="TTE2CA3980t00"/>
        </w:rPr>
        <w:t xml:space="preserve"> da ogni</w:t>
      </w:r>
      <w:r w:rsidR="003B7F7A">
        <w:rPr>
          <w:rFonts w:asciiTheme="majorHAnsi" w:hAnsiTheme="majorHAnsi" w:cs="TTE2CA3980t00"/>
        </w:rPr>
        <w:t xml:space="preserve"> scolastico </w:t>
      </w:r>
      <w:r w:rsidR="00651133">
        <w:rPr>
          <w:rFonts w:asciiTheme="majorHAnsi" w:hAnsiTheme="majorHAnsi" w:cs="TTE2CA3980t00"/>
          <w:i/>
        </w:rPr>
        <w:t>cliché</w:t>
      </w:r>
      <w:r w:rsidR="00651133">
        <w:rPr>
          <w:rFonts w:asciiTheme="majorHAnsi" w:hAnsiTheme="majorHAnsi" w:cs="TTE2CA3980t00"/>
        </w:rPr>
        <w:t xml:space="preserve">, dello stesso pensiero politico antico, dei suoi contrasti apparenti e inapparenti, che nei successivi </w:t>
      </w:r>
      <w:proofErr w:type="spellStart"/>
      <w:r w:rsidR="00651133" w:rsidRPr="009E0870">
        <w:rPr>
          <w:rFonts w:asciiTheme="majorHAnsi" w:hAnsiTheme="majorHAnsi" w:cs="TTE2CA4418t00"/>
          <w:i/>
        </w:rPr>
        <w:t>Geo</w:t>
      </w:r>
      <w:r w:rsidR="00651133" w:rsidRPr="009E0870">
        <w:rPr>
          <w:rFonts w:asciiTheme="majorHAnsi" w:hAnsiTheme="majorHAnsi" w:cs="TTE2CA4418t00"/>
          <w:i/>
        </w:rPr>
        <w:softHyphen/>
        <w:t>filosofia</w:t>
      </w:r>
      <w:proofErr w:type="spellEnd"/>
      <w:r w:rsidR="00651133" w:rsidRPr="009E0870">
        <w:rPr>
          <w:rFonts w:asciiTheme="majorHAnsi" w:hAnsiTheme="majorHAnsi" w:cs="TTE2CA3980t00"/>
          <w:i/>
        </w:rPr>
        <w:t xml:space="preserve"> </w:t>
      </w:r>
      <w:r w:rsidR="00651133" w:rsidRPr="009E0870">
        <w:rPr>
          <w:rFonts w:asciiTheme="majorHAnsi" w:hAnsiTheme="majorHAnsi" w:cs="TTE2CA4418t00"/>
          <w:i/>
        </w:rPr>
        <w:t>dell’Europa</w:t>
      </w:r>
      <w:r w:rsidR="00651133" w:rsidRPr="009E0870">
        <w:rPr>
          <w:rFonts w:asciiTheme="majorHAnsi" w:hAnsiTheme="majorHAnsi" w:cs="TTE2CA3980t00"/>
        </w:rPr>
        <w:t xml:space="preserve"> (1994, 2003</w:t>
      </w:r>
      <w:r w:rsidR="00651133" w:rsidRPr="009E0870">
        <w:rPr>
          <w:rFonts w:asciiTheme="majorHAnsi" w:hAnsiTheme="majorHAnsi" w:cs="TTE2CA3980t00"/>
          <w:vertAlign w:val="superscript"/>
        </w:rPr>
        <w:t>2</w:t>
      </w:r>
      <w:r w:rsidR="00651133">
        <w:rPr>
          <w:rFonts w:asciiTheme="majorHAnsi" w:hAnsiTheme="majorHAnsi" w:cs="TTE2CA3980t00"/>
        </w:rPr>
        <w:t>) e</w:t>
      </w:r>
      <w:r w:rsidR="00651133" w:rsidRPr="009E0870">
        <w:rPr>
          <w:rFonts w:asciiTheme="majorHAnsi" w:hAnsiTheme="majorHAnsi" w:cs="TTE2CA3980t00"/>
        </w:rPr>
        <w:t xml:space="preserve"> </w:t>
      </w:r>
      <w:r w:rsidR="00651133" w:rsidRPr="009E0870">
        <w:rPr>
          <w:rFonts w:asciiTheme="majorHAnsi" w:hAnsiTheme="majorHAnsi" w:cs="TTE2CA4418t00"/>
          <w:i/>
        </w:rPr>
        <w:t>L’arcipelago</w:t>
      </w:r>
      <w:r w:rsidR="00651133">
        <w:rPr>
          <w:rFonts w:asciiTheme="majorHAnsi" w:hAnsiTheme="majorHAnsi" w:cs="TTE2CA3980t00"/>
        </w:rPr>
        <w:t xml:space="preserve"> (1997) condurrà Cacciari a misurarsi con</w:t>
      </w:r>
      <w:r w:rsidR="003B7F7A">
        <w:rPr>
          <w:rFonts w:asciiTheme="majorHAnsi" w:hAnsiTheme="majorHAnsi" w:cs="TTE2CA3980t00"/>
        </w:rPr>
        <w:t xml:space="preserve"> la tradizione politologica che muove da</w:t>
      </w:r>
      <w:r w:rsidR="00651133">
        <w:rPr>
          <w:rFonts w:asciiTheme="majorHAnsi" w:hAnsiTheme="majorHAnsi" w:cs="TTE2CA3980t00"/>
        </w:rPr>
        <w:t xml:space="preserve"> </w:t>
      </w:r>
      <w:r w:rsidR="00651133">
        <w:rPr>
          <w:rFonts w:asciiTheme="majorHAnsi" w:hAnsiTheme="majorHAnsi" w:cs="TTE2CA3980t00"/>
          <w:i/>
        </w:rPr>
        <w:t>La Repubblica</w:t>
      </w:r>
      <w:r w:rsidR="003B7F7A">
        <w:rPr>
          <w:rFonts w:asciiTheme="majorHAnsi" w:hAnsiTheme="majorHAnsi" w:cs="TTE2CA3980t00"/>
          <w:i/>
        </w:rPr>
        <w:t xml:space="preserve"> </w:t>
      </w:r>
      <w:r w:rsidR="003B7F7A">
        <w:rPr>
          <w:rFonts w:asciiTheme="majorHAnsi" w:hAnsiTheme="majorHAnsi" w:cs="TTE2CA3980t00"/>
        </w:rPr>
        <w:t xml:space="preserve">platonica e conduce fino a Carl Schmitt.    </w:t>
      </w:r>
      <w:r w:rsidR="00651133">
        <w:rPr>
          <w:rFonts w:asciiTheme="majorHAnsi" w:hAnsiTheme="majorHAnsi" w:cs="TTE2CA3980t00"/>
          <w:i/>
        </w:rPr>
        <w:t xml:space="preserve"> </w:t>
      </w:r>
      <w:r w:rsidR="00651133">
        <w:rPr>
          <w:rFonts w:asciiTheme="majorHAnsi" w:hAnsiTheme="majorHAnsi" w:cs="TTE2CA3980t00"/>
        </w:rPr>
        <w:t xml:space="preserve">  </w:t>
      </w:r>
    </w:p>
    <w:p w14:paraId="59C6D4C1" w14:textId="77777777" w:rsidR="00887890" w:rsidRDefault="00F708A7" w:rsidP="009B6C94">
      <w:pPr>
        <w:spacing w:line="320" w:lineRule="exact"/>
        <w:ind w:firstLine="0"/>
        <w:rPr>
          <w:rFonts w:asciiTheme="majorHAnsi" w:hAnsiTheme="majorHAnsi" w:cs="TTE2CA3980t00"/>
        </w:rPr>
      </w:pPr>
      <w:r>
        <w:rPr>
          <w:rFonts w:asciiTheme="majorHAnsi" w:hAnsiTheme="majorHAnsi" w:cs="TTE2CA3980t00"/>
        </w:rPr>
        <w:t xml:space="preserve">Strettamente connesso al confronto perpetuo con gli interrogativi fondanti del </w:t>
      </w:r>
      <w:proofErr w:type="gramStart"/>
      <w:r>
        <w:rPr>
          <w:rFonts w:asciiTheme="majorHAnsi" w:hAnsiTheme="majorHAnsi" w:cs="TTE2CA3980t00"/>
        </w:rPr>
        <w:t>platonismo</w:t>
      </w:r>
      <w:proofErr w:type="gramEnd"/>
      <w:r>
        <w:rPr>
          <w:rFonts w:asciiTheme="majorHAnsi" w:hAnsiTheme="majorHAnsi" w:cs="TTE2CA3980t00"/>
        </w:rPr>
        <w:t xml:space="preserve"> è il di</w:t>
      </w:r>
      <w:r w:rsidR="00C92F5F">
        <w:rPr>
          <w:rFonts w:asciiTheme="majorHAnsi" w:hAnsiTheme="majorHAnsi" w:cs="TTE2CA3980t00"/>
        </w:rPr>
        <w:t xml:space="preserve">alogo con la tradizione </w:t>
      </w:r>
      <w:r>
        <w:rPr>
          <w:rFonts w:asciiTheme="majorHAnsi" w:hAnsiTheme="majorHAnsi" w:cs="TTE2CA3980t00"/>
        </w:rPr>
        <w:t>teologica dell’antichità cristiana, della patristica,</w:t>
      </w:r>
      <w:r w:rsidR="00C92F5F">
        <w:rPr>
          <w:rFonts w:asciiTheme="majorHAnsi" w:hAnsiTheme="majorHAnsi" w:cs="TTE2CA3980t00"/>
        </w:rPr>
        <w:t xml:space="preserve"> del misticismo medioevale, </w:t>
      </w:r>
      <w:r>
        <w:rPr>
          <w:rFonts w:asciiTheme="majorHAnsi" w:hAnsiTheme="majorHAnsi"/>
        </w:rPr>
        <w:t xml:space="preserve">i cui motivi sono còlti anche in sorprendenti riemersioni novecentesche tra </w:t>
      </w:r>
      <w:proofErr w:type="spellStart"/>
      <w:r>
        <w:rPr>
          <w:rFonts w:asciiTheme="majorHAnsi" w:hAnsiTheme="majorHAnsi"/>
        </w:rPr>
        <w:t>Florenskij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Rosenzweig</w:t>
      </w:r>
      <w:proofErr w:type="spellEnd"/>
      <w:r>
        <w:rPr>
          <w:rFonts w:asciiTheme="majorHAnsi" w:hAnsiTheme="majorHAnsi"/>
        </w:rPr>
        <w:t xml:space="preserve"> e Kafka (</w:t>
      </w:r>
      <w:r>
        <w:rPr>
          <w:rFonts w:asciiTheme="majorHAnsi" w:hAnsiTheme="majorHAnsi" w:cs="TTE2CA4418t00"/>
          <w:i/>
        </w:rPr>
        <w:t>Icone della Legge</w:t>
      </w:r>
      <w:r>
        <w:rPr>
          <w:rFonts w:asciiTheme="majorHAnsi" w:hAnsiTheme="majorHAnsi" w:cs="TTE2CA4418t00"/>
        </w:rPr>
        <w:t>,</w:t>
      </w:r>
      <w:r>
        <w:rPr>
          <w:rFonts w:asciiTheme="majorHAnsi" w:hAnsiTheme="majorHAnsi" w:cs="TTE2CA4418t00"/>
          <w:i/>
        </w:rPr>
        <w:t xml:space="preserve"> </w:t>
      </w:r>
      <w:r>
        <w:rPr>
          <w:rFonts w:asciiTheme="majorHAnsi" w:hAnsiTheme="majorHAnsi" w:cs="TTE2CA4418t00"/>
        </w:rPr>
        <w:t>1985, 2002</w:t>
      </w:r>
      <w:r>
        <w:rPr>
          <w:rFonts w:asciiTheme="majorHAnsi" w:hAnsiTheme="majorHAnsi" w:cs="TTE2CA4418t00"/>
          <w:vertAlign w:val="superscript"/>
        </w:rPr>
        <w:t>2</w:t>
      </w:r>
      <w:r>
        <w:rPr>
          <w:rFonts w:asciiTheme="majorHAnsi" w:hAnsiTheme="majorHAnsi" w:cs="TTE2CA4418t00"/>
        </w:rPr>
        <w:t>)</w:t>
      </w:r>
      <w:r w:rsidR="00C92F5F">
        <w:rPr>
          <w:rFonts w:asciiTheme="majorHAnsi" w:hAnsiTheme="majorHAnsi" w:cs="TTE2CA4418t00"/>
        </w:rPr>
        <w:t xml:space="preserve">. È in </w:t>
      </w:r>
      <w:r w:rsidR="00C92F5F">
        <w:rPr>
          <w:rFonts w:asciiTheme="majorHAnsi" w:hAnsiTheme="majorHAnsi" w:cs="TTE2CA4418t00"/>
          <w:i/>
        </w:rPr>
        <w:t>Della cosa ultima</w:t>
      </w:r>
      <w:r w:rsidR="00C92F5F">
        <w:rPr>
          <w:rFonts w:asciiTheme="majorHAnsi" w:hAnsiTheme="majorHAnsi" w:cs="TTE2CA4418t00"/>
        </w:rPr>
        <w:t xml:space="preserve"> (</w:t>
      </w:r>
      <w:r w:rsidR="00C92F5F">
        <w:rPr>
          <w:rFonts w:asciiTheme="majorHAnsi" w:hAnsiTheme="majorHAnsi" w:cs="TTE2CA3980t00"/>
        </w:rPr>
        <w:t xml:space="preserve">2004), </w:t>
      </w:r>
      <w:r w:rsidR="00C92F5F">
        <w:rPr>
          <w:rFonts w:asciiTheme="majorHAnsi" w:hAnsiTheme="majorHAnsi" w:cs="TTE2CA3980t00"/>
        </w:rPr>
        <w:lastRenderedPageBreak/>
        <w:t xml:space="preserve">in particolare, che </w:t>
      </w:r>
      <w:proofErr w:type="gramStart"/>
      <w:r w:rsidR="00C92F5F">
        <w:rPr>
          <w:rFonts w:asciiTheme="majorHAnsi" w:hAnsiTheme="majorHAnsi" w:cs="TTE2CA3980t00"/>
        </w:rPr>
        <w:t xml:space="preserve">tradizione platonica e tradizione paolina, contemplazione plotiniana e </w:t>
      </w:r>
      <w:proofErr w:type="spellStart"/>
      <w:r w:rsidR="00C92F5F">
        <w:rPr>
          <w:rFonts w:asciiTheme="majorHAnsi" w:hAnsiTheme="majorHAnsi" w:cs="TTE2CA3980t00"/>
          <w:i/>
        </w:rPr>
        <w:t>imitatio</w:t>
      </w:r>
      <w:proofErr w:type="spellEnd"/>
      <w:r w:rsidR="00C92F5F">
        <w:rPr>
          <w:rFonts w:asciiTheme="majorHAnsi" w:hAnsiTheme="majorHAnsi" w:cs="TTE2CA3980t00"/>
          <w:i/>
        </w:rPr>
        <w:t xml:space="preserve"> Dei </w:t>
      </w:r>
      <w:r w:rsidR="00C92F5F">
        <w:rPr>
          <w:rFonts w:asciiTheme="majorHAnsi" w:hAnsiTheme="majorHAnsi" w:cs="TTE2CA3980t00"/>
        </w:rPr>
        <w:t>pagana</w:t>
      </w:r>
      <w:proofErr w:type="gramEnd"/>
      <w:r w:rsidR="00C92F5F">
        <w:rPr>
          <w:rFonts w:asciiTheme="majorHAnsi" w:hAnsiTheme="majorHAnsi" w:cs="TTE2CA3980t00"/>
        </w:rPr>
        <w:t xml:space="preserve"> </w:t>
      </w:r>
      <w:r w:rsidR="000A0E83">
        <w:rPr>
          <w:rFonts w:asciiTheme="majorHAnsi" w:hAnsiTheme="majorHAnsi" w:cs="TTE2CA3980t00"/>
        </w:rPr>
        <w:t xml:space="preserve">e </w:t>
      </w:r>
      <w:r w:rsidR="00C92F5F">
        <w:rPr>
          <w:rFonts w:asciiTheme="majorHAnsi" w:hAnsiTheme="majorHAnsi" w:cs="TTE2CA3980t00"/>
        </w:rPr>
        <w:t xml:space="preserve">cristiana costituiscono i solidali motivi ispiratori di un’indagine che dall’antichità </w:t>
      </w:r>
      <w:r w:rsidR="0014190D">
        <w:rPr>
          <w:rFonts w:asciiTheme="majorHAnsi" w:hAnsiTheme="majorHAnsi" w:cs="TTE2CA3980t00"/>
        </w:rPr>
        <w:t xml:space="preserve">ci </w:t>
      </w:r>
      <w:r w:rsidR="00C92F5F">
        <w:rPr>
          <w:rFonts w:asciiTheme="majorHAnsi" w:hAnsiTheme="majorHAnsi" w:cs="TTE2CA3980t00"/>
        </w:rPr>
        <w:t>guida</w:t>
      </w:r>
      <w:r w:rsidR="0014190D">
        <w:rPr>
          <w:rFonts w:asciiTheme="majorHAnsi" w:hAnsiTheme="majorHAnsi" w:cs="TTE2CA3980t00"/>
        </w:rPr>
        <w:t xml:space="preserve"> </w:t>
      </w:r>
      <w:r w:rsidR="00C92F5F">
        <w:rPr>
          <w:rFonts w:asciiTheme="majorHAnsi" w:hAnsiTheme="majorHAnsi" w:cs="TTE2CA3980t00"/>
        </w:rPr>
        <w:t>fino al Novecento inoltrato</w:t>
      </w:r>
      <w:r w:rsidR="000A0E83">
        <w:rPr>
          <w:rFonts w:asciiTheme="majorHAnsi" w:hAnsiTheme="majorHAnsi" w:cs="TTE2CA3980t00"/>
        </w:rPr>
        <w:t>, senza mai distinguere fra teologica, metafisica e filosofia della prassi</w:t>
      </w:r>
      <w:r w:rsidR="00C92F5F">
        <w:rPr>
          <w:rFonts w:asciiTheme="majorHAnsi" w:hAnsiTheme="majorHAnsi" w:cs="TTE2CA3980t00"/>
        </w:rPr>
        <w:t>.</w:t>
      </w:r>
      <w:r w:rsidR="000A0E83">
        <w:rPr>
          <w:rFonts w:asciiTheme="majorHAnsi" w:hAnsiTheme="majorHAnsi" w:cs="TTE2CA3980t00"/>
        </w:rPr>
        <w:t xml:space="preserve"> Anche nel commento dedicato alla prima ingiunzione del Decalogo </w:t>
      </w:r>
      <w:proofErr w:type="gramStart"/>
      <w:r w:rsidR="000A0E83">
        <w:rPr>
          <w:rFonts w:asciiTheme="majorHAnsi" w:hAnsiTheme="majorHAnsi" w:cs="TTE2CA3980t00"/>
        </w:rPr>
        <w:t>(</w:t>
      </w:r>
      <w:proofErr w:type="gramEnd"/>
      <w:r w:rsidR="000A0E83" w:rsidRPr="009E0870">
        <w:rPr>
          <w:rFonts w:asciiTheme="majorHAnsi" w:hAnsiTheme="majorHAnsi" w:cs="TTE2CA4418t00"/>
          <w:i/>
        </w:rPr>
        <w:t xml:space="preserve">I comandamenti. Io sono il </w:t>
      </w:r>
      <w:proofErr w:type="gramStart"/>
      <w:r w:rsidR="000A0E83" w:rsidRPr="009E0870">
        <w:rPr>
          <w:rFonts w:asciiTheme="majorHAnsi" w:hAnsiTheme="majorHAnsi" w:cs="TTE2CA4418t00"/>
          <w:i/>
        </w:rPr>
        <w:t>Signore</w:t>
      </w:r>
      <w:proofErr w:type="gramEnd"/>
      <w:r w:rsidR="000A0E83" w:rsidRPr="009E0870">
        <w:rPr>
          <w:rFonts w:asciiTheme="majorHAnsi" w:hAnsiTheme="majorHAnsi" w:cs="TTE2CA4418t00"/>
          <w:i/>
        </w:rPr>
        <w:t xml:space="preserve"> Dio</w:t>
      </w:r>
      <w:r w:rsidR="000A0E83" w:rsidRPr="009E0870">
        <w:rPr>
          <w:rFonts w:asciiTheme="majorHAnsi" w:hAnsiTheme="majorHAnsi" w:cs="TTE2CA3980t00"/>
          <w:i/>
        </w:rPr>
        <w:t xml:space="preserve"> </w:t>
      </w:r>
      <w:r w:rsidR="000A0E83" w:rsidRPr="009E0870">
        <w:rPr>
          <w:rFonts w:asciiTheme="majorHAnsi" w:hAnsiTheme="majorHAnsi" w:cs="TTE2CA4418t00"/>
          <w:i/>
        </w:rPr>
        <w:t>tuo</w:t>
      </w:r>
      <w:r w:rsidR="000A0E83">
        <w:rPr>
          <w:rFonts w:asciiTheme="majorHAnsi" w:hAnsiTheme="majorHAnsi" w:cs="TTE2CA4418t00"/>
        </w:rPr>
        <w:t xml:space="preserve">, 2010), Cacciari </w:t>
      </w:r>
      <w:r w:rsidR="003E7DAB">
        <w:rPr>
          <w:rFonts w:asciiTheme="majorHAnsi" w:hAnsiTheme="majorHAnsi" w:cs="TTE2CA4418t00"/>
        </w:rPr>
        <w:t>indaga</w:t>
      </w:r>
      <w:r w:rsidR="000A0E83">
        <w:rPr>
          <w:rFonts w:asciiTheme="majorHAnsi" w:hAnsiTheme="majorHAnsi" w:cs="TTE2CA4418t00"/>
        </w:rPr>
        <w:t xml:space="preserve"> il legame fra la nozione di monoteismo e il fondamento dell’agire-pensare umano. </w:t>
      </w:r>
      <w:r w:rsidR="00C92F5F">
        <w:rPr>
          <w:rFonts w:asciiTheme="majorHAnsi" w:hAnsiTheme="majorHAnsi" w:cs="TTE2CA3980t00"/>
        </w:rPr>
        <w:t xml:space="preserve">È l’idea paolina di </w:t>
      </w:r>
      <w:proofErr w:type="spellStart"/>
      <w:r w:rsidR="00C92F5F">
        <w:rPr>
          <w:rFonts w:asciiTheme="majorHAnsi" w:hAnsiTheme="majorHAnsi" w:cs="TTE2CA3980t00"/>
          <w:i/>
        </w:rPr>
        <w:t>Katechon</w:t>
      </w:r>
      <w:proofErr w:type="spellEnd"/>
      <w:r w:rsidR="00C92F5F">
        <w:rPr>
          <w:rFonts w:asciiTheme="majorHAnsi" w:hAnsiTheme="majorHAnsi" w:cs="TTE2CA3980t00"/>
        </w:rPr>
        <w:t xml:space="preserve">, </w:t>
      </w:r>
      <w:r w:rsidR="00F503F1">
        <w:rPr>
          <w:rFonts w:asciiTheme="majorHAnsi" w:hAnsiTheme="majorHAnsi" w:cs="TTE2CA3980t00"/>
        </w:rPr>
        <w:t>poi</w:t>
      </w:r>
      <w:r w:rsidR="00C92F5F">
        <w:rPr>
          <w:rFonts w:asciiTheme="majorHAnsi" w:hAnsiTheme="majorHAnsi" w:cs="TTE2CA3980t00"/>
        </w:rPr>
        <w:t xml:space="preserve">, a ispirare la ricerca, insieme teologica e politologica, del recente </w:t>
      </w:r>
      <w:r w:rsidR="00C92F5F">
        <w:rPr>
          <w:rFonts w:asciiTheme="majorHAnsi" w:hAnsiTheme="majorHAnsi" w:cs="TTE2CA3980t00"/>
          <w:i/>
        </w:rPr>
        <w:t xml:space="preserve">Il potere che frena </w:t>
      </w:r>
      <w:r w:rsidR="00C92F5F">
        <w:rPr>
          <w:rFonts w:asciiTheme="majorHAnsi" w:hAnsiTheme="majorHAnsi" w:cs="TTE2CA3980t00"/>
        </w:rPr>
        <w:t xml:space="preserve">(2013): saggio d’esegesi dedicato alla </w:t>
      </w:r>
      <w:r w:rsidR="00C92F5F">
        <w:rPr>
          <w:rFonts w:asciiTheme="majorHAnsi" w:hAnsiTheme="majorHAnsi" w:cs="TTE2CA3980t00"/>
          <w:i/>
        </w:rPr>
        <w:t>Seconda lettera ai Tessalonicesi</w:t>
      </w:r>
      <w:r w:rsidR="00C92F5F">
        <w:rPr>
          <w:rFonts w:asciiTheme="majorHAnsi" w:hAnsiTheme="majorHAnsi" w:cs="TTE2CA3980t00"/>
        </w:rPr>
        <w:t xml:space="preserve"> e alla storia illuminante della sua interpretazione, da Agostino, attraverso Dante e Calvino, fino a Dostoevskij. </w:t>
      </w:r>
    </w:p>
    <w:p w14:paraId="3BDCD9D6" w14:textId="77777777" w:rsidR="006A30C4" w:rsidRDefault="00E941E6" w:rsidP="009B6C94">
      <w:pPr>
        <w:spacing w:line="320" w:lineRule="exact"/>
        <w:ind w:firstLine="0"/>
        <w:rPr>
          <w:rFonts w:asciiTheme="majorHAnsi" w:hAnsiTheme="majorHAnsi" w:cs="TTE2CA3980t00"/>
        </w:rPr>
      </w:pPr>
      <w:r>
        <w:rPr>
          <w:rFonts w:asciiTheme="majorHAnsi" w:hAnsiTheme="majorHAnsi" w:cs="TTE2CA3980t00"/>
        </w:rPr>
        <w:t>Infine, m</w:t>
      </w:r>
      <w:r w:rsidR="00887890">
        <w:rPr>
          <w:rFonts w:asciiTheme="majorHAnsi" w:hAnsiTheme="majorHAnsi" w:cs="TTE2CA3980t00"/>
        </w:rPr>
        <w:t xml:space="preserve">isurarsi con la metafisica e la teologia della classicità significa, per la tradizione di pensiero europeo cui Cacciari orgogliosamente si richiama, misurarsi con le sfide poste </w:t>
      </w:r>
      <w:r w:rsidR="0014190D">
        <w:rPr>
          <w:rFonts w:asciiTheme="majorHAnsi" w:hAnsiTheme="majorHAnsi" w:cs="TTE2CA3980t00"/>
        </w:rPr>
        <w:t xml:space="preserve">dalla tragedia </w:t>
      </w:r>
      <w:r w:rsidR="00887890">
        <w:rPr>
          <w:rFonts w:asciiTheme="majorHAnsi" w:hAnsiTheme="majorHAnsi" w:cs="TTE2CA3980t00"/>
        </w:rPr>
        <w:t xml:space="preserve">a ogni filosofia e a ogni fede: una tragedia mai fossilizzata in un’astratta nozione di “tragico” o “pensiero </w:t>
      </w:r>
      <w:proofErr w:type="gramStart"/>
      <w:r w:rsidR="00887890">
        <w:rPr>
          <w:rFonts w:asciiTheme="majorHAnsi" w:hAnsiTheme="majorHAnsi" w:cs="TTE2CA3980t00"/>
        </w:rPr>
        <w:t>tragico</w:t>
      </w:r>
      <w:proofErr w:type="gramEnd"/>
      <w:r w:rsidR="00887890">
        <w:rPr>
          <w:rFonts w:asciiTheme="majorHAnsi" w:hAnsiTheme="majorHAnsi" w:cs="TTE2CA3980t00"/>
        </w:rPr>
        <w:t>”, ma sempre indagata nelle sue concrete realtà testuali. Oltre ai numerosissimi e fertili spunti</w:t>
      </w:r>
      <w:r>
        <w:rPr>
          <w:rFonts w:asciiTheme="majorHAnsi" w:hAnsiTheme="majorHAnsi" w:cs="TTE2CA3980t00"/>
        </w:rPr>
        <w:t xml:space="preserve"> interpretativi</w:t>
      </w:r>
      <w:r w:rsidR="00887890">
        <w:rPr>
          <w:rFonts w:asciiTheme="majorHAnsi" w:hAnsiTheme="majorHAnsi" w:cs="TTE2CA3980t00"/>
        </w:rPr>
        <w:t xml:space="preserve"> che</w:t>
      </w:r>
      <w:proofErr w:type="gramStart"/>
      <w:r w:rsidR="00887890">
        <w:rPr>
          <w:rFonts w:asciiTheme="majorHAnsi" w:hAnsiTheme="majorHAnsi" w:cs="TTE2CA3980t00"/>
        </w:rPr>
        <w:t xml:space="preserve"> </w:t>
      </w:r>
      <w:r w:rsidR="00266247">
        <w:rPr>
          <w:rFonts w:asciiTheme="majorHAnsi" w:hAnsiTheme="majorHAnsi" w:cs="TTE2CA3980t00"/>
        </w:rPr>
        <w:t xml:space="preserve"> </w:t>
      </w:r>
      <w:proofErr w:type="gramEnd"/>
      <w:r w:rsidR="002F6371">
        <w:rPr>
          <w:rFonts w:asciiTheme="majorHAnsi" w:hAnsiTheme="majorHAnsi" w:cs="TTE2CA3980t00"/>
        </w:rPr>
        <w:t>attraversano l’intera opera di Cacciari</w:t>
      </w:r>
      <w:r>
        <w:rPr>
          <w:rFonts w:asciiTheme="majorHAnsi" w:hAnsiTheme="majorHAnsi" w:cs="TTE2CA3980t00"/>
        </w:rPr>
        <w:t>,</w:t>
      </w:r>
      <w:r w:rsidR="002F6371">
        <w:rPr>
          <w:rFonts w:asciiTheme="majorHAnsi" w:hAnsiTheme="majorHAnsi" w:cs="TTE2CA3980t00"/>
        </w:rPr>
        <w:t xml:space="preserve"> giova ricordare</w:t>
      </w:r>
      <w:r w:rsidR="008D396E">
        <w:rPr>
          <w:rFonts w:asciiTheme="majorHAnsi" w:hAnsiTheme="majorHAnsi" w:cs="TTE2CA3980t00"/>
        </w:rPr>
        <w:t xml:space="preserve"> almeno</w:t>
      </w:r>
      <w:r w:rsidR="002F6371">
        <w:rPr>
          <w:rFonts w:asciiTheme="majorHAnsi" w:hAnsiTheme="majorHAnsi" w:cs="TTE2CA3980t00"/>
        </w:rPr>
        <w:t xml:space="preserve"> il confronto diretto, da traduttore, </w:t>
      </w:r>
      <w:r w:rsidR="008D396E">
        <w:rPr>
          <w:rFonts w:asciiTheme="majorHAnsi" w:hAnsiTheme="majorHAnsi" w:cs="TTE2CA3980t00"/>
        </w:rPr>
        <w:t>con l’</w:t>
      </w:r>
      <w:r w:rsidR="008D396E">
        <w:rPr>
          <w:rFonts w:asciiTheme="majorHAnsi" w:hAnsiTheme="majorHAnsi" w:cs="TTE2CA3980t00"/>
          <w:i/>
        </w:rPr>
        <w:t xml:space="preserve">Antigone </w:t>
      </w:r>
      <w:r w:rsidR="008D396E">
        <w:rPr>
          <w:rFonts w:asciiTheme="majorHAnsi" w:hAnsiTheme="majorHAnsi" w:cs="TTE2CA3980t00"/>
        </w:rPr>
        <w:t xml:space="preserve">(Einaudi, Torino 2007); la sua precoce collaborazione </w:t>
      </w:r>
      <w:r w:rsidR="008D396E" w:rsidRPr="008D396E">
        <w:rPr>
          <w:rFonts w:asciiTheme="majorHAnsi" w:hAnsiTheme="majorHAnsi" w:cs="TTE2CA3980t00"/>
        </w:rPr>
        <w:t xml:space="preserve">drammaturgica al </w:t>
      </w:r>
      <w:r w:rsidR="008D396E" w:rsidRPr="008D396E">
        <w:rPr>
          <w:rFonts w:asciiTheme="majorHAnsi" w:hAnsiTheme="majorHAnsi"/>
          <w:i/>
        </w:rPr>
        <w:t xml:space="preserve">Prometeo </w:t>
      </w:r>
      <w:r w:rsidR="008D396E" w:rsidRPr="008D396E">
        <w:rPr>
          <w:rFonts w:asciiTheme="majorHAnsi" w:hAnsiTheme="majorHAnsi"/>
        </w:rPr>
        <w:t>di Luigi Nono (1984</w:t>
      </w:r>
      <w:r>
        <w:rPr>
          <w:rFonts w:asciiTheme="majorHAnsi" w:hAnsiTheme="majorHAnsi" w:cs="TTE2CA3980t00"/>
        </w:rPr>
        <w:t>); la sua recente</w:t>
      </w:r>
      <w:r w:rsidR="008D396E">
        <w:rPr>
          <w:rFonts w:asciiTheme="majorHAnsi" w:hAnsiTheme="majorHAnsi" w:cs="TTE2CA3980t00"/>
        </w:rPr>
        <w:t xml:space="preserve"> rilettura dell’</w:t>
      </w:r>
      <w:r w:rsidR="008D396E">
        <w:rPr>
          <w:rFonts w:asciiTheme="majorHAnsi" w:hAnsiTheme="majorHAnsi" w:cs="TTE2CA3980t00"/>
          <w:i/>
        </w:rPr>
        <w:t xml:space="preserve">Ecuba </w:t>
      </w:r>
      <w:r w:rsidR="008D396E">
        <w:rPr>
          <w:rFonts w:asciiTheme="majorHAnsi" w:hAnsiTheme="majorHAnsi" w:cs="TTE2CA3980t00"/>
        </w:rPr>
        <w:t>euripidea (</w:t>
      </w:r>
      <w:r w:rsidR="008D396E" w:rsidRPr="008D396E">
        <w:rPr>
          <w:rFonts w:asciiTheme="majorHAnsi" w:hAnsiTheme="majorHAnsi" w:cs="TTE2CA4418t00"/>
          <w:i/>
        </w:rPr>
        <w:t>Il</w:t>
      </w:r>
      <w:r w:rsidR="008D396E" w:rsidRPr="008D396E">
        <w:rPr>
          <w:rFonts w:asciiTheme="majorHAnsi" w:hAnsiTheme="majorHAnsi" w:cs="TTE2CA3980t00"/>
          <w:i/>
        </w:rPr>
        <w:t xml:space="preserve"> </w:t>
      </w:r>
      <w:r w:rsidR="008D396E" w:rsidRPr="008D396E">
        <w:rPr>
          <w:rFonts w:asciiTheme="majorHAnsi" w:hAnsiTheme="majorHAnsi" w:cs="TTE2CA4418t00"/>
          <w:i/>
        </w:rPr>
        <w:t>dolore dell’altro. Una lettura dell’</w:t>
      </w:r>
      <w:r w:rsidR="008D396E" w:rsidRPr="008D396E">
        <w:rPr>
          <w:rFonts w:asciiTheme="majorHAnsi" w:hAnsiTheme="majorHAnsi" w:cs="TTE2CA3980t00"/>
          <w:i/>
        </w:rPr>
        <w:t xml:space="preserve">Ecuba </w:t>
      </w:r>
      <w:r w:rsidR="008D396E" w:rsidRPr="008D396E">
        <w:rPr>
          <w:rFonts w:asciiTheme="majorHAnsi" w:hAnsiTheme="majorHAnsi" w:cs="TTE2CA4418t00"/>
          <w:i/>
        </w:rPr>
        <w:t>di Euripide e del libro di Giobbe</w:t>
      </w:r>
      <w:r w:rsidR="008D396E">
        <w:rPr>
          <w:rFonts w:asciiTheme="majorHAnsi" w:hAnsiTheme="majorHAnsi" w:cs="TTE2CA4418t00"/>
        </w:rPr>
        <w:t>,</w:t>
      </w:r>
      <w:r w:rsidR="008D396E">
        <w:rPr>
          <w:rFonts w:asciiTheme="majorHAnsi" w:hAnsiTheme="majorHAnsi" w:cs="TTE2CA3980t00"/>
        </w:rPr>
        <w:t xml:space="preserve"> Saletta dell’uva, Caserta 2010</w:t>
      </w:r>
      <w:proofErr w:type="gramStart"/>
      <w:r w:rsidR="008D396E">
        <w:rPr>
          <w:rFonts w:asciiTheme="majorHAnsi" w:hAnsiTheme="majorHAnsi" w:cs="TTE2CA3980t00"/>
        </w:rPr>
        <w:t>).</w:t>
      </w:r>
      <w:proofErr w:type="gramEnd"/>
      <w:r w:rsidR="008D396E">
        <w:rPr>
          <w:rFonts w:asciiTheme="majorHAnsi" w:hAnsiTheme="majorHAnsi" w:cs="TTE2CA3980t00"/>
        </w:rPr>
        <w:t xml:space="preserve"> </w:t>
      </w:r>
    </w:p>
    <w:p w14:paraId="229DCBE6" w14:textId="77777777" w:rsidR="00F503F1" w:rsidRDefault="006A30C4" w:rsidP="009B6C94">
      <w:pPr>
        <w:spacing w:line="320" w:lineRule="exact"/>
        <w:ind w:firstLine="0"/>
        <w:rPr>
          <w:rFonts w:asciiTheme="majorHAnsi" w:hAnsiTheme="majorHAnsi" w:cs="TTE2CA3980t00"/>
        </w:rPr>
      </w:pPr>
      <w:r>
        <w:rPr>
          <w:rFonts w:asciiTheme="majorHAnsi" w:hAnsiTheme="majorHAnsi" w:cs="TTE2CA3980t00"/>
        </w:rPr>
        <w:t xml:space="preserve">Filosofo e insieme filologo, in ciascuna delle letture qui evocate Massimo Cacciari ha saputo rivitalizzare in maniera inedita il patrimonio della filosofia, della poesia e della teologia antiche, scoprendo nessi e </w:t>
      </w:r>
      <w:proofErr w:type="gramStart"/>
      <w:r>
        <w:rPr>
          <w:rFonts w:asciiTheme="majorHAnsi" w:hAnsiTheme="majorHAnsi" w:cs="TTE2CA3980t00"/>
        </w:rPr>
        <w:t>delineando</w:t>
      </w:r>
      <w:proofErr w:type="gramEnd"/>
      <w:r>
        <w:rPr>
          <w:rFonts w:asciiTheme="majorHAnsi" w:hAnsiTheme="majorHAnsi" w:cs="TTE2CA3980t00"/>
        </w:rPr>
        <w:t xml:space="preserve"> rapporti che inscindibilmente legano – oltre ai grandi campi del sapere occidentale </w:t>
      </w:r>
      <w:r>
        <w:rPr>
          <w:rFonts w:ascii="HellenicaU" w:hAnsi="HellenicaU" w:cs="TTE2CA3980t00"/>
        </w:rPr>
        <w:t>‒</w:t>
      </w:r>
      <w:r>
        <w:rPr>
          <w:rFonts w:asciiTheme="majorHAnsi" w:hAnsiTheme="majorHAnsi" w:cs="TTE2CA3980t00"/>
        </w:rPr>
        <w:t xml:space="preserve"> l’antico, il moderno e il contemporaneo. </w:t>
      </w:r>
    </w:p>
    <w:p w14:paraId="1AA3F246" w14:textId="77777777" w:rsidR="00F503F1" w:rsidRDefault="00F503F1" w:rsidP="009B6C94">
      <w:pPr>
        <w:spacing w:line="320" w:lineRule="exact"/>
        <w:ind w:firstLine="0"/>
        <w:rPr>
          <w:rFonts w:asciiTheme="majorHAnsi" w:hAnsiTheme="majorHAnsi" w:cs="TTE2CA3980t00"/>
        </w:rPr>
      </w:pPr>
      <w:r>
        <w:rPr>
          <w:rFonts w:asciiTheme="majorHAnsi" w:hAnsiTheme="majorHAnsi" w:cs="TTE2CA3980t00"/>
        </w:rPr>
        <w:t xml:space="preserve">“Filologia”, per Massimo Cacciari, non è pretesa di «estrarre la verità dal pozzo a forza di </w:t>
      </w:r>
      <w:proofErr w:type="spellStart"/>
      <w:r>
        <w:rPr>
          <w:rFonts w:asciiTheme="majorHAnsi" w:hAnsiTheme="majorHAnsi" w:cs="TTE2CA3980t00"/>
          <w:i/>
        </w:rPr>
        <w:t>anà</w:t>
      </w:r>
      <w:proofErr w:type="spellEnd"/>
      <w:r>
        <w:rPr>
          <w:rFonts w:asciiTheme="majorHAnsi" w:hAnsiTheme="majorHAnsi" w:cs="TTE2CA3980t00"/>
          <w:i/>
        </w:rPr>
        <w:t xml:space="preserve"> </w:t>
      </w:r>
      <w:r>
        <w:rPr>
          <w:rFonts w:asciiTheme="majorHAnsi" w:hAnsiTheme="majorHAnsi" w:cs="TTE2CA3980t00"/>
        </w:rPr>
        <w:t xml:space="preserve">e </w:t>
      </w:r>
      <w:proofErr w:type="spellStart"/>
      <w:r>
        <w:rPr>
          <w:rFonts w:asciiTheme="majorHAnsi" w:hAnsiTheme="majorHAnsi" w:cs="TTE2CA3980t00"/>
          <w:i/>
        </w:rPr>
        <w:t>katà</w:t>
      </w:r>
      <w:proofErr w:type="spellEnd"/>
      <w:r>
        <w:rPr>
          <w:rFonts w:asciiTheme="majorHAnsi" w:hAnsiTheme="majorHAnsi" w:cs="TTE2CA3980t00"/>
        </w:rPr>
        <w:t xml:space="preserve">» (Nietzsche); “filologia” non è “filologismo”, quel vizio che – ci ha ricordato proprio due giorni fa, allo </w:t>
      </w:r>
      <w:proofErr w:type="spellStart"/>
      <w:r>
        <w:rPr>
          <w:rFonts w:asciiTheme="majorHAnsi" w:hAnsiTheme="majorHAnsi" w:cs="TTE2CA3980t00"/>
        </w:rPr>
        <w:t>Stabat</w:t>
      </w:r>
      <w:proofErr w:type="spellEnd"/>
      <w:r>
        <w:rPr>
          <w:rFonts w:asciiTheme="majorHAnsi" w:hAnsiTheme="majorHAnsi" w:cs="TTE2CA3980t00"/>
        </w:rPr>
        <w:t xml:space="preserve"> Mater dell’Archiginnasio – </w:t>
      </w:r>
      <w:proofErr w:type="gramStart"/>
      <w:r>
        <w:rPr>
          <w:rFonts w:asciiTheme="majorHAnsi" w:hAnsiTheme="majorHAnsi" w:cs="TTE2CA3980t00"/>
        </w:rPr>
        <w:t>«</w:t>
      </w:r>
      <w:proofErr w:type="gramEnd"/>
      <w:r>
        <w:rPr>
          <w:rFonts w:asciiTheme="majorHAnsi" w:hAnsiTheme="majorHAnsi" w:cs="TTE2CA3980t00"/>
        </w:rPr>
        <w:t xml:space="preserve">se non è ancora morto, va fatto morire presto». </w:t>
      </w:r>
      <w:r w:rsidR="00E0748B">
        <w:rPr>
          <w:rFonts w:asciiTheme="majorHAnsi" w:hAnsiTheme="majorHAnsi" w:cs="TTE2CA3980t00"/>
        </w:rPr>
        <w:t>La sua peculiare “filologia” è</w:t>
      </w:r>
      <w:r>
        <w:rPr>
          <w:rFonts w:asciiTheme="majorHAnsi" w:hAnsiTheme="majorHAnsi" w:cs="TTE2CA3980t00"/>
        </w:rPr>
        <w:t xml:space="preserve"> davvero</w:t>
      </w:r>
      <w:r w:rsidR="00E0748B">
        <w:rPr>
          <w:rFonts w:asciiTheme="majorHAnsi" w:hAnsiTheme="majorHAnsi" w:cs="TTE2CA3980t00"/>
        </w:rPr>
        <w:t xml:space="preserve"> amore del </w:t>
      </w:r>
      <w:r w:rsidR="00E0748B">
        <w:rPr>
          <w:rFonts w:asciiTheme="majorHAnsi" w:hAnsiTheme="majorHAnsi" w:cs="TTE2CA3980t00"/>
          <w:i/>
        </w:rPr>
        <w:t xml:space="preserve">logos </w:t>
      </w:r>
      <w:r w:rsidR="00E0748B">
        <w:rPr>
          <w:rFonts w:asciiTheme="majorHAnsi" w:hAnsiTheme="majorHAnsi" w:cs="TTE2CA3980t00"/>
        </w:rPr>
        <w:t xml:space="preserve">in tutte le sue forme: il pensiero e la parola, la </w:t>
      </w:r>
      <w:proofErr w:type="gramStart"/>
      <w:r w:rsidR="00E0748B">
        <w:rPr>
          <w:rFonts w:asciiTheme="majorHAnsi" w:hAnsiTheme="majorHAnsi" w:cs="TTE2CA3980t00"/>
        </w:rPr>
        <w:t>parola</w:t>
      </w:r>
      <w:proofErr w:type="gramEnd"/>
      <w:r w:rsidR="00E0748B">
        <w:rPr>
          <w:rFonts w:asciiTheme="majorHAnsi" w:hAnsiTheme="majorHAnsi" w:cs="TTE2CA3980t00"/>
        </w:rPr>
        <w:t xml:space="preserve"> della filosofia e la parola della poesia, la ricerca strenua dell’</w:t>
      </w:r>
      <w:proofErr w:type="spellStart"/>
      <w:r w:rsidR="00E0748B">
        <w:rPr>
          <w:rFonts w:asciiTheme="majorHAnsi" w:hAnsiTheme="majorHAnsi" w:cs="TTE2CA3980t00"/>
          <w:i/>
        </w:rPr>
        <w:t>etymon</w:t>
      </w:r>
      <w:proofErr w:type="spellEnd"/>
      <w:r w:rsidR="00E0748B">
        <w:rPr>
          <w:rFonts w:asciiTheme="majorHAnsi" w:hAnsiTheme="majorHAnsi" w:cs="TTE2CA3980t00"/>
          <w:i/>
        </w:rPr>
        <w:t xml:space="preserve"> </w:t>
      </w:r>
      <w:r w:rsidR="00E0748B">
        <w:rPr>
          <w:rFonts w:asciiTheme="majorHAnsi" w:hAnsiTheme="majorHAnsi" w:cs="TTE2CA3980t00"/>
        </w:rPr>
        <w:t>come verità dinamica che si deposita nei termini-chiave della riflessione occidentale e attende, al variare degli orizzonti storici e culturali, una reinterpretazione sempre nuova.</w:t>
      </w:r>
    </w:p>
    <w:p w14:paraId="1E92385B" w14:textId="77777777" w:rsidR="00E941E6" w:rsidRPr="00E941E6" w:rsidRDefault="00E941E6" w:rsidP="009B6C94">
      <w:pPr>
        <w:spacing w:line="320" w:lineRule="exact"/>
        <w:ind w:firstLine="0"/>
        <w:rPr>
          <w:rFonts w:asciiTheme="majorHAnsi" w:hAnsiTheme="majorHAnsi" w:cs="TTE2CA3980t00"/>
        </w:rPr>
      </w:pPr>
      <w:r>
        <w:rPr>
          <w:rFonts w:asciiTheme="majorHAnsi" w:hAnsiTheme="majorHAnsi" w:cs="TTE2CA3980t00"/>
        </w:rPr>
        <w:t xml:space="preserve">Difficile dire se ci sia riuscito, ma certo Massimo Cacciari non </w:t>
      </w:r>
      <w:proofErr w:type="gramStart"/>
      <w:r>
        <w:rPr>
          <w:rFonts w:asciiTheme="majorHAnsi" w:hAnsiTheme="majorHAnsi" w:cs="TTE2CA3980t00"/>
        </w:rPr>
        <w:t>hai</w:t>
      </w:r>
      <w:proofErr w:type="gramEnd"/>
      <w:r>
        <w:rPr>
          <w:rFonts w:asciiTheme="majorHAnsi" w:hAnsiTheme="majorHAnsi" w:cs="TTE2CA3980t00"/>
        </w:rPr>
        <w:t xml:space="preserve"> mai desistito dal tentativo di rispondere alla domanda del </w:t>
      </w:r>
      <w:r>
        <w:rPr>
          <w:rFonts w:asciiTheme="majorHAnsi" w:hAnsiTheme="majorHAnsi" w:cs="TTE2CA3980t00"/>
          <w:i/>
        </w:rPr>
        <w:t>Salmo</w:t>
      </w:r>
      <w:r>
        <w:rPr>
          <w:rFonts w:asciiTheme="majorHAnsi" w:hAnsiTheme="majorHAnsi" w:cs="TTE2CA3980t00"/>
        </w:rPr>
        <w:t xml:space="preserve">: </w:t>
      </w:r>
      <w:proofErr w:type="spellStart"/>
      <w:r>
        <w:rPr>
          <w:rFonts w:asciiTheme="majorHAnsi" w:hAnsiTheme="majorHAnsi" w:cs="TTE2CA3980t00"/>
          <w:i/>
        </w:rPr>
        <w:t>Sapientia</w:t>
      </w:r>
      <w:proofErr w:type="spellEnd"/>
      <w:r>
        <w:rPr>
          <w:rFonts w:asciiTheme="majorHAnsi" w:hAnsiTheme="majorHAnsi" w:cs="TTE2CA3980t00"/>
          <w:i/>
        </w:rPr>
        <w:t xml:space="preserve"> vero </w:t>
      </w:r>
      <w:proofErr w:type="spellStart"/>
      <w:r>
        <w:rPr>
          <w:rFonts w:asciiTheme="majorHAnsi" w:hAnsiTheme="majorHAnsi" w:cs="TTE2CA3980t00"/>
          <w:i/>
        </w:rPr>
        <w:t>ubi</w:t>
      </w:r>
      <w:proofErr w:type="spellEnd"/>
      <w:r>
        <w:rPr>
          <w:rFonts w:asciiTheme="majorHAnsi" w:hAnsiTheme="majorHAnsi" w:cs="TTE2CA3980t00"/>
          <w:i/>
        </w:rPr>
        <w:t xml:space="preserve"> </w:t>
      </w:r>
      <w:proofErr w:type="spellStart"/>
      <w:r>
        <w:rPr>
          <w:rFonts w:asciiTheme="majorHAnsi" w:hAnsiTheme="majorHAnsi" w:cs="TTE2CA3980t00"/>
          <w:i/>
        </w:rPr>
        <w:t>invenitur</w:t>
      </w:r>
      <w:proofErr w:type="spellEnd"/>
      <w:r>
        <w:rPr>
          <w:rFonts w:asciiTheme="majorHAnsi" w:hAnsiTheme="majorHAnsi" w:cs="TTE2CA3980t00"/>
          <w:i/>
        </w:rPr>
        <w:t>?</w:t>
      </w:r>
    </w:p>
    <w:p w14:paraId="6A88B520" w14:textId="77777777" w:rsidR="00DF3AEA" w:rsidRDefault="00DF3AEA" w:rsidP="009B6C94">
      <w:pPr>
        <w:spacing w:line="320" w:lineRule="exact"/>
        <w:ind w:firstLine="0"/>
        <w:rPr>
          <w:rFonts w:asciiTheme="majorHAnsi" w:hAnsiTheme="majorHAnsi" w:cs="TTE2CA3980t00"/>
        </w:rPr>
      </w:pPr>
    </w:p>
    <w:sectPr w:rsidR="00DF3AEA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7259B" w14:textId="77777777" w:rsidR="00D5653D" w:rsidRDefault="00D5653D" w:rsidP="008D396E">
      <w:pPr>
        <w:spacing w:line="240" w:lineRule="auto"/>
      </w:pPr>
      <w:r>
        <w:separator/>
      </w:r>
    </w:p>
  </w:endnote>
  <w:endnote w:type="continuationSeparator" w:id="0">
    <w:p w14:paraId="47E636E1" w14:textId="77777777" w:rsidR="00D5653D" w:rsidRDefault="00D5653D" w:rsidP="008D39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oncini Garamond">
    <w:altName w:val="Times New Roman"/>
    <w:charset w:val="00"/>
    <w:family w:val="roman"/>
    <w:pitch w:val="variable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TE2CA44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CA39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lenicaU">
    <w:altName w:val="Times New Roman"/>
    <w:charset w:val="00"/>
    <w:family w:val="auto"/>
    <w:pitch w:val="variable"/>
    <w:sig w:usb0="00000001" w:usb1="00000001" w:usb2="00000000" w:usb3="00000000" w:csb0="00000009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5175593"/>
      <w:docPartObj>
        <w:docPartGallery w:val="Page Numbers (Bottom of Page)"/>
        <w:docPartUnique/>
      </w:docPartObj>
    </w:sdtPr>
    <w:sdtEndPr/>
    <w:sdtContent>
      <w:p w14:paraId="15AE2F69" w14:textId="77777777" w:rsidR="008D396E" w:rsidRDefault="008D396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691">
          <w:rPr>
            <w:noProof/>
          </w:rPr>
          <w:t>1</w:t>
        </w:r>
        <w:r>
          <w:fldChar w:fldCharType="end"/>
        </w:r>
      </w:p>
    </w:sdtContent>
  </w:sdt>
  <w:p w14:paraId="565D8491" w14:textId="77777777" w:rsidR="008D396E" w:rsidRDefault="008D396E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98410" w14:textId="77777777" w:rsidR="00D5653D" w:rsidRDefault="00D5653D" w:rsidP="008D396E">
      <w:pPr>
        <w:spacing w:line="240" w:lineRule="auto"/>
      </w:pPr>
      <w:r>
        <w:separator/>
      </w:r>
    </w:p>
  </w:footnote>
  <w:footnote w:type="continuationSeparator" w:id="0">
    <w:p w14:paraId="1C5A3E1F" w14:textId="77777777" w:rsidR="00D5653D" w:rsidRDefault="00D5653D" w:rsidP="008D396E">
      <w:pPr>
        <w:spacing w:line="240" w:lineRule="auto"/>
      </w:pPr>
      <w:r>
        <w:continuationSeparator/>
      </w:r>
    </w:p>
  </w:footnote>
  <w:footnote w:id="1">
    <w:p w14:paraId="06DA25FB" w14:textId="77777777" w:rsidR="00831177" w:rsidRDefault="0083117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ajorHAnsi" w:hAnsiTheme="majorHAnsi"/>
        </w:rPr>
        <w:t xml:space="preserve">M. Cacciari, </w:t>
      </w:r>
      <w:r>
        <w:rPr>
          <w:rFonts w:asciiTheme="majorHAnsi" w:hAnsiTheme="majorHAnsi"/>
          <w:i/>
        </w:rPr>
        <w:t>Brevi inattuali sullo studio dei classici</w:t>
      </w:r>
      <w:r>
        <w:rPr>
          <w:rFonts w:asciiTheme="majorHAnsi" w:hAnsiTheme="majorHAnsi"/>
        </w:rPr>
        <w:t xml:space="preserve">, in </w:t>
      </w:r>
      <w:proofErr w:type="spellStart"/>
      <w:proofErr w:type="gramStart"/>
      <w:r>
        <w:rPr>
          <w:rFonts w:asciiTheme="majorHAnsi" w:hAnsiTheme="majorHAnsi"/>
          <w:smallCaps/>
        </w:rPr>
        <w:t>Aa.Vv</w:t>
      </w:r>
      <w:proofErr w:type="spellEnd"/>
      <w:r>
        <w:rPr>
          <w:rFonts w:asciiTheme="majorHAnsi" w:hAnsiTheme="majorHAnsi"/>
          <w:smallCaps/>
        </w:rPr>
        <w:t>.</w:t>
      </w:r>
      <w:proofErr w:type="gramEnd"/>
      <w:r>
        <w:rPr>
          <w:rFonts w:asciiTheme="majorHAnsi" w:hAnsiTheme="majorHAnsi"/>
        </w:rPr>
        <w:t xml:space="preserve">, </w:t>
      </w:r>
      <w:r>
        <w:rPr>
          <w:rFonts w:asciiTheme="majorHAnsi" w:hAnsiTheme="majorHAnsi"/>
          <w:i/>
        </w:rPr>
        <w:t>Di fronte ai Classici</w:t>
      </w:r>
      <w:r>
        <w:rPr>
          <w:rFonts w:asciiTheme="majorHAnsi" w:hAnsiTheme="majorHAnsi"/>
        </w:rPr>
        <w:t xml:space="preserve">, a c. di I. Dionigi, </w:t>
      </w:r>
      <w:proofErr w:type="spellStart"/>
      <w:r>
        <w:rPr>
          <w:rFonts w:asciiTheme="majorHAnsi" w:hAnsiTheme="majorHAnsi"/>
        </w:rPr>
        <w:t>Bur</w:t>
      </w:r>
      <w:proofErr w:type="spellEnd"/>
      <w:r>
        <w:rPr>
          <w:rFonts w:asciiTheme="majorHAnsi" w:hAnsiTheme="majorHAnsi"/>
        </w:rPr>
        <w:t>-Rizzoli, Milano 2002, pp. 21-29: p. 23.</w:t>
      </w:r>
    </w:p>
  </w:footnote>
  <w:footnote w:id="2">
    <w:p w14:paraId="79EFCB3F" w14:textId="77777777" w:rsidR="00F503F1" w:rsidRDefault="00F503F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ajorHAnsi" w:hAnsiTheme="majorHAnsi" w:cs="TTE2CA3980t00"/>
        </w:rPr>
        <w:t xml:space="preserve">M. Cacciari, </w:t>
      </w:r>
      <w:r>
        <w:rPr>
          <w:rFonts w:asciiTheme="majorHAnsi" w:hAnsiTheme="majorHAnsi" w:cs="TTE2CA3980t00"/>
          <w:i/>
        </w:rPr>
        <w:t>Brevi inattuali</w:t>
      </w:r>
      <w:r>
        <w:rPr>
          <w:rFonts w:asciiTheme="majorHAnsi" w:hAnsiTheme="majorHAnsi" w:cs="TTE2CA3980t00"/>
        </w:rPr>
        <w:t>, cit., p. 24.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9D"/>
    <w:rsid w:val="000A0E83"/>
    <w:rsid w:val="000B3223"/>
    <w:rsid w:val="000E3A77"/>
    <w:rsid w:val="0014190D"/>
    <w:rsid w:val="00151754"/>
    <w:rsid w:val="00156D89"/>
    <w:rsid w:val="00190867"/>
    <w:rsid w:val="00195D29"/>
    <w:rsid w:val="001A161D"/>
    <w:rsid w:val="001A1FFC"/>
    <w:rsid w:val="00232FA0"/>
    <w:rsid w:val="00266247"/>
    <w:rsid w:val="002845F6"/>
    <w:rsid w:val="002E3F4E"/>
    <w:rsid w:val="002F6371"/>
    <w:rsid w:val="0030383D"/>
    <w:rsid w:val="00324A1C"/>
    <w:rsid w:val="003533ED"/>
    <w:rsid w:val="0037271C"/>
    <w:rsid w:val="003B4DF5"/>
    <w:rsid w:val="003B7F7A"/>
    <w:rsid w:val="003E7DAB"/>
    <w:rsid w:val="00406794"/>
    <w:rsid w:val="00505908"/>
    <w:rsid w:val="00546227"/>
    <w:rsid w:val="0055065B"/>
    <w:rsid w:val="00584C78"/>
    <w:rsid w:val="00591014"/>
    <w:rsid w:val="005A464A"/>
    <w:rsid w:val="005A7DE0"/>
    <w:rsid w:val="00612A9D"/>
    <w:rsid w:val="00651133"/>
    <w:rsid w:val="006833BB"/>
    <w:rsid w:val="00686B95"/>
    <w:rsid w:val="00694691"/>
    <w:rsid w:val="006A30C4"/>
    <w:rsid w:val="006E57DA"/>
    <w:rsid w:val="006F2AAF"/>
    <w:rsid w:val="007007A6"/>
    <w:rsid w:val="00717787"/>
    <w:rsid w:val="007223BC"/>
    <w:rsid w:val="00762EE5"/>
    <w:rsid w:val="007E1158"/>
    <w:rsid w:val="0080750E"/>
    <w:rsid w:val="00831177"/>
    <w:rsid w:val="00887890"/>
    <w:rsid w:val="008B03F1"/>
    <w:rsid w:val="008D396E"/>
    <w:rsid w:val="00910FA6"/>
    <w:rsid w:val="009562F5"/>
    <w:rsid w:val="009B6C94"/>
    <w:rsid w:val="009E0870"/>
    <w:rsid w:val="009F1FCA"/>
    <w:rsid w:val="00A2389A"/>
    <w:rsid w:val="00A913D5"/>
    <w:rsid w:val="00AD122F"/>
    <w:rsid w:val="00B01F71"/>
    <w:rsid w:val="00B84AE9"/>
    <w:rsid w:val="00B86E97"/>
    <w:rsid w:val="00BD2BA7"/>
    <w:rsid w:val="00BF35DB"/>
    <w:rsid w:val="00C07609"/>
    <w:rsid w:val="00C16CCF"/>
    <w:rsid w:val="00C5545A"/>
    <w:rsid w:val="00C92F5F"/>
    <w:rsid w:val="00CB04D0"/>
    <w:rsid w:val="00D07D0B"/>
    <w:rsid w:val="00D446AA"/>
    <w:rsid w:val="00D5653D"/>
    <w:rsid w:val="00D634C2"/>
    <w:rsid w:val="00D74282"/>
    <w:rsid w:val="00D8618D"/>
    <w:rsid w:val="00DD44BE"/>
    <w:rsid w:val="00DF3AEA"/>
    <w:rsid w:val="00E0748B"/>
    <w:rsid w:val="00E87EDC"/>
    <w:rsid w:val="00E93C71"/>
    <w:rsid w:val="00E941E6"/>
    <w:rsid w:val="00EA6F15"/>
    <w:rsid w:val="00EC27EC"/>
    <w:rsid w:val="00F05609"/>
    <w:rsid w:val="00F24301"/>
    <w:rsid w:val="00F34D8D"/>
    <w:rsid w:val="00F436C3"/>
    <w:rsid w:val="00F45029"/>
    <w:rsid w:val="00F503F1"/>
    <w:rsid w:val="00F52CBD"/>
    <w:rsid w:val="00F708A7"/>
    <w:rsid w:val="00F976DD"/>
    <w:rsid w:val="00FA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A0E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it-IT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2CBD"/>
    <w:pPr>
      <w:spacing w:line="240" w:lineRule="exact"/>
      <w:ind w:firstLine="709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locked/>
    <w:rsid w:val="001A1FFC"/>
    <w:pPr>
      <w:keepNext/>
      <w:spacing w:line="480" w:lineRule="auto"/>
      <w:ind w:firstLine="0"/>
      <w:outlineLvl w:val="0"/>
    </w:pPr>
    <w:rPr>
      <w:i/>
      <w:iCs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90867"/>
    <w:pPr>
      <w:tabs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90867"/>
    <w:rPr>
      <w:rFonts w:ascii="Simoncini Garamond" w:eastAsia="Times New Roman" w:hAnsi="Simoncini Garamond"/>
      <w:szCs w:val="24"/>
      <w:lang w:eastAsia="it-IT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B84AE9"/>
    <w:rPr>
      <w:color w:val="0000FF"/>
      <w:u w:val="single"/>
    </w:rPr>
  </w:style>
  <w:style w:type="character" w:customStyle="1" w:styleId="spelle">
    <w:name w:val="spelle"/>
    <w:basedOn w:val="Caratterepredefinitoparagrafo"/>
    <w:rsid w:val="003B7F7A"/>
  </w:style>
  <w:style w:type="paragraph" w:styleId="Intestazione">
    <w:name w:val="header"/>
    <w:basedOn w:val="Normale"/>
    <w:link w:val="IntestazioneCarattere"/>
    <w:uiPriority w:val="99"/>
    <w:unhideWhenUsed/>
    <w:rsid w:val="008D396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D396E"/>
    <w:rPr>
      <w:rFonts w:ascii="Times New Roman" w:eastAsia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31177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831177"/>
    <w:rPr>
      <w:rFonts w:ascii="Times New Roman" w:eastAsia="Times New Roman" w:hAnsi="Times New Roman"/>
      <w:lang w:eastAsia="it-IT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831177"/>
    <w:rPr>
      <w:vertAlign w:val="superscript"/>
    </w:rPr>
  </w:style>
  <w:style w:type="character" w:customStyle="1" w:styleId="Titolo1Carattere">
    <w:name w:val="Titolo 1 Carattere"/>
    <w:basedOn w:val="Caratterepredefinitoparagrafo"/>
    <w:link w:val="Titolo1"/>
    <w:rsid w:val="001A1FFC"/>
    <w:rPr>
      <w:rFonts w:ascii="Times New Roman" w:eastAsia="Times New Roman" w:hAnsi="Times New Roman"/>
      <w:i/>
      <w:iCs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semiHidden/>
    <w:unhideWhenUsed/>
    <w:rsid w:val="001A1FFC"/>
    <w:pPr>
      <w:spacing w:line="240" w:lineRule="auto"/>
      <w:ind w:firstLine="0"/>
    </w:pPr>
  </w:style>
  <w:style w:type="character" w:customStyle="1" w:styleId="CorpodeltestoCarattere">
    <w:name w:val="Corpo del testo Carattere"/>
    <w:basedOn w:val="Caratterepredefinitoparagrafo"/>
    <w:link w:val="Corpodeltesto"/>
    <w:semiHidden/>
    <w:rsid w:val="001A1FFC"/>
    <w:rPr>
      <w:rFonts w:ascii="Times New Roman" w:eastAsia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it-IT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2CBD"/>
    <w:pPr>
      <w:spacing w:line="240" w:lineRule="exact"/>
      <w:ind w:firstLine="709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locked/>
    <w:rsid w:val="001A1FFC"/>
    <w:pPr>
      <w:keepNext/>
      <w:spacing w:line="480" w:lineRule="auto"/>
      <w:ind w:firstLine="0"/>
      <w:outlineLvl w:val="0"/>
    </w:pPr>
    <w:rPr>
      <w:i/>
      <w:iCs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90867"/>
    <w:pPr>
      <w:tabs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90867"/>
    <w:rPr>
      <w:rFonts w:ascii="Simoncini Garamond" w:eastAsia="Times New Roman" w:hAnsi="Simoncini Garamond"/>
      <w:szCs w:val="24"/>
      <w:lang w:eastAsia="it-IT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B84AE9"/>
    <w:rPr>
      <w:color w:val="0000FF"/>
      <w:u w:val="single"/>
    </w:rPr>
  </w:style>
  <w:style w:type="character" w:customStyle="1" w:styleId="spelle">
    <w:name w:val="spelle"/>
    <w:basedOn w:val="Caratterepredefinitoparagrafo"/>
    <w:rsid w:val="003B7F7A"/>
  </w:style>
  <w:style w:type="paragraph" w:styleId="Intestazione">
    <w:name w:val="header"/>
    <w:basedOn w:val="Normale"/>
    <w:link w:val="IntestazioneCarattere"/>
    <w:uiPriority w:val="99"/>
    <w:unhideWhenUsed/>
    <w:rsid w:val="008D396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D396E"/>
    <w:rPr>
      <w:rFonts w:ascii="Times New Roman" w:eastAsia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31177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831177"/>
    <w:rPr>
      <w:rFonts w:ascii="Times New Roman" w:eastAsia="Times New Roman" w:hAnsi="Times New Roman"/>
      <w:lang w:eastAsia="it-IT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831177"/>
    <w:rPr>
      <w:vertAlign w:val="superscript"/>
    </w:rPr>
  </w:style>
  <w:style w:type="character" w:customStyle="1" w:styleId="Titolo1Carattere">
    <w:name w:val="Titolo 1 Carattere"/>
    <w:basedOn w:val="Caratterepredefinitoparagrafo"/>
    <w:link w:val="Titolo1"/>
    <w:rsid w:val="001A1FFC"/>
    <w:rPr>
      <w:rFonts w:ascii="Times New Roman" w:eastAsia="Times New Roman" w:hAnsi="Times New Roman"/>
      <w:i/>
      <w:iCs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semiHidden/>
    <w:unhideWhenUsed/>
    <w:rsid w:val="001A1FFC"/>
    <w:pPr>
      <w:spacing w:line="240" w:lineRule="auto"/>
      <w:ind w:firstLine="0"/>
    </w:pPr>
  </w:style>
  <w:style w:type="character" w:customStyle="1" w:styleId="CorpodeltestoCarattere">
    <w:name w:val="Corpo del testo Carattere"/>
    <w:basedOn w:val="Caratterepredefinitoparagrafo"/>
    <w:link w:val="Corpodeltesto"/>
    <w:semiHidden/>
    <w:rsid w:val="001A1FFC"/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5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1410</Words>
  <Characters>8039</Characters>
  <Application>Microsoft Macintosh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Condello</dc:creator>
  <cp:lastModifiedBy>Simona</cp:lastModifiedBy>
  <cp:revision>5</cp:revision>
  <dcterms:created xsi:type="dcterms:W3CDTF">2014-05-23T14:36:00Z</dcterms:created>
  <dcterms:modified xsi:type="dcterms:W3CDTF">2014-05-23T20:33:00Z</dcterms:modified>
</cp:coreProperties>
</file>